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B253">
      <w:pPr>
        <w:pStyle w:val="286"/>
        <w:bidi w:val="0"/>
        <w:rPr>
          <w:rFonts w:hint="eastAsia"/>
          <w:color w:val="auto"/>
          <w:lang w:eastAsia="zh-CN"/>
        </w:rPr>
      </w:pPr>
      <w:bookmarkStart w:id="0" w:name="标准封面"/>
      <w:bookmarkEnd w:id="0"/>
      <w:bookmarkStart w:id="1" w:name="_Toc6543"/>
      <w:bookmarkStart w:id="2" w:name="_Toc28363"/>
      <w:bookmarkStart w:id="3" w:name="_Toc18702"/>
      <w:bookmarkStart w:id="4" w:name="_Toc4474"/>
      <w:bookmarkStart w:id="5" w:name="_Toc19152"/>
      <w:r>
        <w:rPr>
          <w:color w:val="auto"/>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27"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8B51F1">
                            <w:pPr>
                              <w:pStyle w:val="496"/>
                              <w:bidi w:val="0"/>
                              <w:jc w:val="right"/>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SD6o9oAAAALAQAADwAAAAAAAAABACAAAAAiAAAAZHJzL2Rvd25yZXYueG1sUEsBAhQAFAAA&#10;AAgAh07iQIbVRCVfAgAAjAQAAA4AAAAAAAAAAQAgAAAAKQEAAGRycy9lMm9Eb2MueG1sUEsFBgAA&#10;AAAGAAYAWQEAAPoFAAAAAA==&#10;">
                <v:fill on="t" focussize="0,0"/>
                <v:stroke on="f" weight="0.5pt"/>
                <v:imagedata o:title=""/>
                <o:lock v:ext="edit" aspectratio="f"/>
                <v:textbox inset="0mm,0mm,2.54mm,0mm">
                  <w:txbxContent>
                    <w:p w14:paraId="2C8B51F1">
                      <w:pPr>
                        <w:pStyle w:val="496"/>
                        <w:bidi w:val="0"/>
                        <w:jc w:val="right"/>
                        <w:rPr>
                          <w:rFonts w:hint="eastAsia"/>
                          <w:lang w:eastAsia="zh-CN"/>
                        </w:rPr>
                      </w:pPr>
                    </w:p>
                  </w:txbxContent>
                </v:textbox>
              </v:shape>
            </w:pict>
          </mc:Fallback>
        </mc:AlternateContent>
      </w:r>
      <w:r>
        <w:rPr>
          <w:color w:val="auto"/>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3175" b="3810"/>
                <wp:wrapNone/>
                <wp:docPr id="26"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568B8F">
                            <w:pPr>
                              <w:pStyle w:val="333"/>
                              <w:bidi w:val="0"/>
                              <w:rPr>
                                <w:rFonts w:hint="eastAsia"/>
                                <w:lang w:eastAsia="zh-CN"/>
                              </w:rPr>
                            </w:pPr>
                            <w:r>
                              <w:rPr>
                                <w:rFonts w:hint="eastAsia"/>
                                <w:lang w:eastAsia="zh-CN"/>
                              </w:rPr>
                              <w:t>ICS 29.020</w:t>
                            </w:r>
                          </w:p>
                          <w:p w14:paraId="174E8822">
                            <w:pPr>
                              <w:pStyle w:val="333"/>
                              <w:bidi w:val="0"/>
                              <w:rPr>
                                <w:rFonts w:hint="eastAsia"/>
                                <w:lang w:eastAsia="zh-CN"/>
                              </w:rPr>
                            </w:pPr>
                            <w:r>
                              <w:rPr>
                                <w:rFonts w:hint="eastAsia"/>
                                <w:lang w:eastAsia="zh-CN"/>
                              </w:rPr>
                              <w:t>CCS P16</w:t>
                            </w:r>
                          </w:p>
                          <w:p w14:paraId="0F35EE9F">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SuiCHZAAAACgEAAA8AAAAAAAAAAQAgAAAAIgAAAGRycy9kb3ducmV2LnhtbFBLAQIUABQAAAAI&#10;AIdO4kBQQvH9XgIAAIwEAAAOAAAAAAAAAAEAIAAAACgBAABkcnMvZTJvRG9jLnhtbFBLBQYAAAAA&#10;BgAGAFkBAAD4BQAAAAA=&#10;">
                <v:fill on="t" focussize="0,0"/>
                <v:stroke on="f" weight="0.5pt"/>
                <v:imagedata o:title=""/>
                <o:lock v:ext="edit" aspectratio="f"/>
                <v:textbox inset="0mm,0mm,2.54mm,0mm">
                  <w:txbxContent>
                    <w:p w14:paraId="6D568B8F">
                      <w:pPr>
                        <w:pStyle w:val="333"/>
                        <w:bidi w:val="0"/>
                        <w:rPr>
                          <w:rFonts w:hint="eastAsia"/>
                          <w:lang w:eastAsia="zh-CN"/>
                        </w:rPr>
                      </w:pPr>
                      <w:r>
                        <w:rPr>
                          <w:rFonts w:hint="eastAsia"/>
                          <w:lang w:eastAsia="zh-CN"/>
                        </w:rPr>
                        <w:t>ICS 29.020</w:t>
                      </w:r>
                    </w:p>
                    <w:p w14:paraId="174E8822">
                      <w:pPr>
                        <w:pStyle w:val="333"/>
                        <w:bidi w:val="0"/>
                        <w:rPr>
                          <w:rFonts w:hint="eastAsia"/>
                          <w:lang w:eastAsia="zh-CN"/>
                        </w:rPr>
                      </w:pPr>
                      <w:r>
                        <w:rPr>
                          <w:rFonts w:hint="eastAsia"/>
                          <w:lang w:eastAsia="zh-CN"/>
                        </w:rPr>
                        <w:t>CCS P16</w:t>
                      </w:r>
                    </w:p>
                    <w:p w14:paraId="0F35EE9F">
                      <w:pPr>
                        <w:pStyle w:val="333"/>
                        <w:bidi w:val="0"/>
                        <w:rPr>
                          <w:rFonts w:hint="eastAsia"/>
                          <w:lang w:eastAsia="zh-CN"/>
                        </w:rPr>
                      </w:pPr>
                    </w:p>
                  </w:txbxContent>
                </v:textbox>
              </v:shape>
            </w:pict>
          </mc:Fallback>
        </mc:AlternateContent>
      </w:r>
    </w:p>
    <w:p w14:paraId="3403EA9B">
      <w:pPr>
        <w:pStyle w:val="258"/>
        <w:rPr>
          <w:rFonts w:hint="eastAsia"/>
          <w:color w:val="auto"/>
          <w:lang w:eastAsia="zh-CN"/>
        </w:rPr>
      </w:pPr>
      <w:r>
        <w:rPr>
          <w:color w:val="auto"/>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635" b="12065"/>
                <wp:wrapNone/>
                <wp:docPr id="28"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9366C2">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2nf1NsAAAAMAQAADwAAAAAAAAABACAAAAAiAAAAZHJzL2Rvd25yZXYueG1sUEsBAhQAFAAA&#10;AAgAh07iQIVe0gReAgAAjAQAAA4AAAAAAAAAAQAgAAAAKgEAAGRycy9lMm9Eb2MueG1sUEsFBgAA&#10;AAAGAAYAWQEAAPoFAAAAAA==&#10;">
                <v:fill on="t" focussize="0,0"/>
                <v:stroke on="f" weight="0.5pt"/>
                <v:imagedata o:title=""/>
                <o:lock v:ext="edit" aspectratio="f"/>
                <v:textbox inset="0mm,0mm,2.54mm,0mm">
                  <w:txbxContent>
                    <w:p w14:paraId="419366C2">
                      <w:pPr>
                        <w:pStyle w:val="497"/>
                        <w:bidi w:val="0"/>
                        <w:rPr>
                          <w:rFonts w:hint="eastAsia"/>
                          <w:lang w:eastAsia="zh-CN"/>
                        </w:rPr>
                      </w:pPr>
                      <w:r>
                        <w:rPr>
                          <w:rFonts w:hint="eastAsia"/>
                          <w:lang w:eastAsia="zh-CN"/>
                        </w:rPr>
                        <w:t>团 体 标 准</w:t>
                      </w:r>
                    </w:p>
                  </w:txbxContent>
                </v:textbox>
              </v:shape>
            </w:pict>
          </mc:Fallback>
        </mc:AlternateContent>
      </w:r>
    </w:p>
    <w:p w14:paraId="7529390D">
      <w:pPr>
        <w:pStyle w:val="258"/>
        <w:rPr>
          <w:rFonts w:hint="eastAsia"/>
          <w:color w:val="auto"/>
          <w:lang w:eastAsia="zh-CN"/>
        </w:rPr>
      </w:pPr>
    </w:p>
    <w:p w14:paraId="3C5178FD">
      <w:pPr>
        <w:pStyle w:val="258"/>
        <w:rPr>
          <w:rFonts w:hint="eastAsia"/>
          <w:color w:val="auto"/>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84" w:right="851" w:bottom="1134" w:left="1418" w:header="284" w:footer="1134" w:gutter="0"/>
          <w:lnNumType w:countBy="0" w:restart="continuous"/>
          <w:pgNumType w:fmt="upperRoman" w:start="1"/>
          <w:cols w:space="425" w:num="1"/>
          <w:rtlGutter w:val="0"/>
          <w:docGrid w:linePitch="312" w:charSpace="0"/>
        </w:sectPr>
      </w:pPr>
      <w:r>
        <w:rPr>
          <w:color w:val="auto"/>
          <w:sz w:val="21"/>
        </w:rPr>
        <mc:AlternateContent>
          <mc:Choice Requires="wps">
            <w:drawing>
              <wp:anchor distT="0" distB="0" distL="114300" distR="114300" simplePos="0" relativeHeight="251669504" behindDoc="0" locked="0" layoutInCell="1" allowOverlap="1">
                <wp:simplePos x="0" y="0"/>
                <wp:positionH relativeFrom="page">
                  <wp:posOffset>4632325</wp:posOffset>
                </wp:positionH>
                <wp:positionV relativeFrom="page">
                  <wp:posOffset>9649460</wp:posOffset>
                </wp:positionV>
                <wp:extent cx="810895" cy="184150"/>
                <wp:effectExtent l="0" t="0" r="1905" b="6350"/>
                <wp:wrapNone/>
                <wp:docPr id="36"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C84FDF">
                            <w:pPr>
                              <w:pStyle w:val="502"/>
                              <w:bidi w:val="0"/>
                              <w:rPr>
                                <w:rFonts w:hint="eastAsia"/>
                                <w:lang w:eastAsia="zh-CN"/>
                              </w:rPr>
                            </w:pPr>
                            <w:r>
                              <w:rPr>
                                <w:rFonts w:hint="eastAsia"/>
                                <w:lang w:val="en-US" w:eastAsia="zh-CN"/>
                              </w:rPr>
                              <w:t xml:space="preserve">联 合 </w:t>
                            </w: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64.75pt;margin-top:759.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OVUjB&#10;3AAAAA0BAAAPAAAAAAAAAAEAIAAAACIAAABkcnMvZG93bnJldi54bWxQSwECFAAUAAAACACHTuJA&#10;LGp0/VYCAACHBAAADgAAAAAAAAABACAAAAArAQAAZHJzL2Uyb0RvYy54bWxQSwUGAAAAAAYABgBZ&#10;AQAA8wUAAAAA&#10;">
                <v:fill on="t" focussize="0,0"/>
                <v:stroke on="f" weight="0.5pt"/>
                <v:imagedata o:title=""/>
                <o:lock v:ext="edit" aspectratio="f"/>
                <v:textbox inset="0mm,0mm,0mm,0mm">
                  <w:txbxContent>
                    <w:p w14:paraId="40C84FDF">
                      <w:pPr>
                        <w:pStyle w:val="502"/>
                        <w:bidi w:val="0"/>
                        <w:rPr>
                          <w:rFonts w:hint="eastAsia"/>
                          <w:lang w:eastAsia="zh-CN"/>
                        </w:rPr>
                      </w:pPr>
                      <w:r>
                        <w:rPr>
                          <w:rFonts w:hint="eastAsia"/>
                          <w:lang w:val="en-US" w:eastAsia="zh-CN"/>
                        </w:rPr>
                        <w:t xml:space="preserve">联 合 </w:t>
                      </w:r>
                      <w:r>
                        <w:rPr>
                          <w:rFonts w:hint="eastAsia"/>
                          <w:lang w:eastAsia="zh-CN"/>
                        </w:rPr>
                        <w:t>发 布</w:t>
                      </w:r>
                    </w:p>
                  </w:txbxContent>
                </v:textbox>
              </v:shap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page">
                  <wp:posOffset>2298065</wp:posOffset>
                </wp:positionH>
                <wp:positionV relativeFrom="page">
                  <wp:posOffset>9509760</wp:posOffset>
                </wp:positionV>
                <wp:extent cx="2334260" cy="463550"/>
                <wp:effectExtent l="0" t="0" r="2540" b="6350"/>
                <wp:wrapNone/>
                <wp:docPr id="35" name="首页自画框图11"/>
                <wp:cNvGraphicFramePr/>
                <a:graphic xmlns:a="http://schemas.openxmlformats.org/drawingml/2006/main">
                  <a:graphicData uri="http://schemas.microsoft.com/office/word/2010/wordprocessingShape">
                    <wps:wsp>
                      <wps:cNvSpPr txBox="1"/>
                      <wps:spPr>
                        <a:xfrm>
                          <a:off x="0" y="0"/>
                          <a:ext cx="2160270" cy="463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C598A8">
                            <w:pPr>
                              <w:pStyle w:val="503"/>
                              <w:bidi w:val="0"/>
                              <w:jc w:val="distribute"/>
                              <w:rPr>
                                <w:rFonts w:hint="eastAsia"/>
                                <w:sz w:val="30"/>
                                <w:szCs w:val="30"/>
                                <w:lang w:eastAsia="zh-CN"/>
                              </w:rPr>
                            </w:pPr>
                            <w:r>
                              <w:rPr>
                                <w:rFonts w:hint="eastAsia"/>
                                <w:sz w:val="30"/>
                                <w:szCs w:val="30"/>
                                <w:lang w:eastAsia="zh-CN"/>
                              </w:rPr>
                              <w:t>重庆消防协会</w:t>
                            </w:r>
                          </w:p>
                          <w:p w14:paraId="74FD9A64">
                            <w:pPr>
                              <w:pStyle w:val="503"/>
                              <w:bidi w:val="0"/>
                              <w:jc w:val="distribute"/>
                              <w:rPr>
                                <w:rFonts w:hint="eastAsia"/>
                                <w:lang w:eastAsia="zh-CN"/>
                              </w:rPr>
                            </w:pPr>
                            <w:r>
                              <w:rPr>
                                <w:rFonts w:hint="eastAsia"/>
                                <w:sz w:val="30"/>
                                <w:szCs w:val="30"/>
                                <w:lang w:eastAsia="zh-CN"/>
                              </w:rPr>
                              <w:t>四川省消防协会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80.95pt;margin-top:748.8pt;height:36.5pt;width:183.8pt;mso-position-horizontal-relative:page;mso-position-vertical-relative:page;mso-wrap-style:none;z-index:251668480;mso-width-relative:page;mso-height-relative:page;" fillcolor="#FFFFFF [3201]" filled="t" stroked="f" coordsize="21600,21600" o:gfxdata="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YiB&#10;YtwAAAANAQAADwAAAAAAAAABACAAAAAiAAAAZHJzL2Rvd25yZXYueG1sUEsBAhQAFAAAAAgAh07i&#10;QDh6fChXAgAAhwQAAA4AAAAAAAAAAQAgAAAAKwEAAGRycy9lMm9Eb2MueG1sUEsFBgAAAAAGAAYA&#10;WQEAAPQFAAAAAA==&#10;">
                <v:fill on="t" focussize="0,0"/>
                <v:stroke on="f" weight="0.5pt"/>
                <v:imagedata o:title=""/>
                <o:lock v:ext="edit" aspectratio="f"/>
                <v:textbox inset="0mm,0mm,0mm,0mm">
                  <w:txbxContent>
                    <w:p w14:paraId="2AC598A8">
                      <w:pPr>
                        <w:pStyle w:val="503"/>
                        <w:bidi w:val="0"/>
                        <w:jc w:val="distribute"/>
                        <w:rPr>
                          <w:rFonts w:hint="eastAsia"/>
                          <w:sz w:val="30"/>
                          <w:szCs w:val="30"/>
                          <w:lang w:eastAsia="zh-CN"/>
                        </w:rPr>
                      </w:pPr>
                      <w:r>
                        <w:rPr>
                          <w:rFonts w:hint="eastAsia"/>
                          <w:sz w:val="30"/>
                          <w:szCs w:val="30"/>
                          <w:lang w:eastAsia="zh-CN"/>
                        </w:rPr>
                        <w:t>重庆消防协会</w:t>
                      </w:r>
                    </w:p>
                    <w:p w14:paraId="74FD9A64">
                      <w:pPr>
                        <w:pStyle w:val="503"/>
                        <w:bidi w:val="0"/>
                        <w:jc w:val="distribute"/>
                        <w:rPr>
                          <w:rFonts w:hint="eastAsia"/>
                          <w:lang w:eastAsia="zh-CN"/>
                        </w:rPr>
                      </w:pPr>
                      <w:r>
                        <w:rPr>
                          <w:rFonts w:hint="eastAsia"/>
                          <w:sz w:val="30"/>
                          <w:szCs w:val="30"/>
                          <w:lang w:eastAsia="zh-CN"/>
                        </w:rPr>
                        <w:t>四川省消防协会</w:t>
                      </w:r>
                    </w:p>
                  </w:txbxContent>
                </v:textbox>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34"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N&#10;GmzXAAAADAEAAA8AAAAAAAAAAQAgAAAAIgAAAGRycy9kb3ducmV2LnhtbFBLAQIUABQAAAAIAIdO&#10;4kCB3i+g6wEAALUDAAAOAAAAAAAAAAEAIAAAACYBAABkcnMvZTJvRG9jLnhtbFBLBQYAAAAABgAG&#10;AFkBAACDBQAAAAA=&#10;">
                <v:fill on="f" focussize="0,0"/>
                <v:stroke weight="0.5pt" color="#000000 [3204]"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2540" b="8255"/>
                <wp:wrapNone/>
                <wp:docPr id="33"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36CC78">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NhsJm2wAAAA4BAAAPAAAAAAAAAAEAIAAAACIAAABkcnMvZG93bnJldi54bWxQSwECFAAUAAAA&#10;CACHTuJADBvcK10CAACMBAAADgAAAAAAAAABACAAAAAqAQAAZHJzL2Uyb0RvYy54bWxQSwUGAAAA&#10;AAYABgBZAQAA+QUAAAAA&#10;">
                <v:fill on="t" focussize="0,0"/>
                <v:stroke on="f" weight="0.5pt"/>
                <v:imagedata o:title=""/>
                <o:lock v:ext="edit" aspectratio="f"/>
                <v:textbox inset="0mm,0mm,2.54mm,0mm">
                  <w:txbxContent>
                    <w:p w14:paraId="5E36CC78">
                      <w:pPr>
                        <w:pStyle w:val="291"/>
                        <w:bidi w:val="0"/>
                        <w:jc w:val="right"/>
                        <w:rPr>
                          <w:rFonts w:hint="eastAsia"/>
                          <w:lang w:eastAsia="zh-CN"/>
                        </w:rPr>
                      </w:pPr>
                      <w:r>
                        <w:rPr>
                          <w:rFonts w:hint="eastAsia"/>
                          <w:lang w:eastAsia="zh-CN"/>
                        </w:rPr>
                        <w:t>20XX-XX-XX实施</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2540" b="8255"/>
                <wp:wrapNone/>
                <wp:docPr id="32"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5BB54F">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2G3I+dkAAAANAQAADwAAAAAAAAABACAAAAAiAAAAZHJzL2Rvd25yZXYueG1sUEsBAhQAFAAAAAgA&#10;h07iQIf3m0xdAgAAjAQAAA4AAAAAAAAAAQAgAAAAKAEAAGRycy9lMm9Eb2MueG1sUEsFBgAAAAAG&#10;AAYAWQEAAPcFAAAAAA==&#10;">
                <v:fill on="t" focussize="0,0"/>
                <v:stroke on="f" weight="0.5pt"/>
                <v:imagedata o:title=""/>
                <o:lock v:ext="edit" aspectratio="f"/>
                <v:textbox inset="0mm,0mm,2.54mm,0mm">
                  <w:txbxContent>
                    <w:p w14:paraId="785BB54F">
                      <w:pPr>
                        <w:pStyle w:val="264"/>
                        <w:bidi w:val="0"/>
                        <w:rPr>
                          <w:rFonts w:hint="eastAsia"/>
                          <w:lang w:eastAsia="zh-CN"/>
                        </w:rPr>
                      </w:pPr>
                      <w:r>
                        <w:rPr>
                          <w:rFonts w:hint="eastAsia"/>
                          <w:lang w:eastAsia="zh-CN"/>
                        </w:rPr>
                        <w:t>20XX-XX-XX发布</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635" b="10160"/>
                <wp:wrapNone/>
                <wp:docPr id="31"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10F570">
                            <w:pPr>
                              <w:pStyle w:val="268"/>
                              <w:bidi w:val="0"/>
                              <w:rPr>
                                <w:rFonts w:hint="eastAsia"/>
                                <w:lang w:eastAsia="zh-CN"/>
                              </w:rPr>
                            </w:pPr>
                            <w:r>
                              <w:rPr>
                                <w:rFonts w:hint="eastAsia"/>
                                <w:lang w:eastAsia="zh-CN"/>
                              </w:rPr>
                              <w:t>建筑电气防火检测技术规程</w:t>
                            </w:r>
                          </w:p>
                          <w:p w14:paraId="538D5895">
                            <w:pPr>
                              <w:pStyle w:val="272"/>
                              <w:bidi w:val="0"/>
                              <w:rPr>
                                <w:rFonts w:hint="eastAsia"/>
                                <w:lang w:eastAsia="zh-CN"/>
                              </w:rPr>
                            </w:pPr>
                          </w:p>
                          <w:p w14:paraId="224AB6E6">
                            <w:pPr>
                              <w:pStyle w:val="272"/>
                              <w:bidi w:val="0"/>
                              <w:rPr>
                                <w:rFonts w:hint="eastAsia"/>
                                <w:lang w:eastAsia="zh-CN"/>
                              </w:rPr>
                            </w:pPr>
                            <w:r>
                              <w:rPr>
                                <w:rFonts w:hint="eastAsia"/>
                                <w:lang w:eastAsia="zh-CN"/>
                              </w:rPr>
                              <w:t>（</w:t>
                            </w:r>
                            <w:r>
                              <w:rPr>
                                <w:rFonts w:hint="eastAsia"/>
                                <w:lang w:val="en-US" w:eastAsia="zh-CN"/>
                              </w:rPr>
                              <w:t>报批</w:t>
                            </w:r>
                            <w:r>
                              <w:rPr>
                                <w:rFonts w:hint="eastAsia"/>
                                <w:lang w:eastAsia="zh-CN"/>
                              </w:rPr>
                              <w:t>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xO9dDcAAAADQEAAA8AAAAAAAAAAQAgAAAAIgAAAGRycy9kb3ducmV2LnhtbFBLAQIU&#10;ABQAAAAIAIdO4kDvH4lOYQIAAI0EAAAOAAAAAAAAAAEAIAAAACsBAABkcnMvZTJvRG9jLnhtbFBL&#10;BQYAAAAABgAGAFkBAAD+BQAAAAA=&#10;">
                <v:fill on="t" focussize="0,0"/>
                <v:stroke on="f" weight="0.5pt"/>
                <v:imagedata o:title=""/>
                <o:lock v:ext="edit" aspectratio="f"/>
                <v:textbox inset="0mm,0mm,2.54mm,0mm">
                  <w:txbxContent>
                    <w:p w14:paraId="5B10F570">
                      <w:pPr>
                        <w:pStyle w:val="268"/>
                        <w:bidi w:val="0"/>
                        <w:rPr>
                          <w:rFonts w:hint="eastAsia"/>
                          <w:lang w:eastAsia="zh-CN"/>
                        </w:rPr>
                      </w:pPr>
                      <w:r>
                        <w:rPr>
                          <w:rFonts w:hint="eastAsia"/>
                          <w:lang w:eastAsia="zh-CN"/>
                        </w:rPr>
                        <w:t>建筑电气防火检测技术规程</w:t>
                      </w:r>
                    </w:p>
                    <w:p w14:paraId="538D5895">
                      <w:pPr>
                        <w:pStyle w:val="272"/>
                        <w:bidi w:val="0"/>
                        <w:rPr>
                          <w:rFonts w:hint="eastAsia"/>
                          <w:lang w:eastAsia="zh-CN"/>
                        </w:rPr>
                      </w:pPr>
                    </w:p>
                    <w:p w14:paraId="224AB6E6">
                      <w:pPr>
                        <w:pStyle w:val="272"/>
                        <w:bidi w:val="0"/>
                        <w:rPr>
                          <w:rFonts w:hint="eastAsia"/>
                          <w:lang w:eastAsia="zh-CN"/>
                        </w:rPr>
                      </w:pPr>
                      <w:r>
                        <w:rPr>
                          <w:rFonts w:hint="eastAsia"/>
                          <w:lang w:eastAsia="zh-CN"/>
                        </w:rPr>
                        <w:t>（</w:t>
                      </w:r>
                      <w:r>
                        <w:rPr>
                          <w:rFonts w:hint="eastAsia"/>
                          <w:lang w:val="en-US" w:eastAsia="zh-CN"/>
                        </w:rPr>
                        <w:t>报批</w:t>
                      </w:r>
                      <w:r>
                        <w:rPr>
                          <w:rFonts w:hint="eastAsia"/>
                          <w:lang w:eastAsia="zh-CN"/>
                        </w:rPr>
                        <w:t>稿）</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30"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OfZW1+oBAAC0AwAADgAAAAAAAAABACAAAAAlAQAAZHJzL2Uyb0RvYy54bWxQSwUGAAAAAAYABgBZ&#10;AQAAgQUAAAAA&#10;">
                <v:fill on="f" focussize="0,0"/>
                <v:stroke weight="0.5pt" color="#000000 [3204]"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10160" b="3810"/>
                <wp:wrapNone/>
                <wp:docPr id="29"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8113D6">
                            <w:pPr>
                              <w:pStyle w:val="265"/>
                              <w:bidi w:val="0"/>
                              <w:rPr>
                                <w:rFonts w:hint="eastAsia"/>
                                <w:lang w:eastAsia="zh-CN"/>
                              </w:rPr>
                            </w:pPr>
                            <w:r>
                              <w:rPr>
                                <w:rFonts w:hint="eastAsia"/>
                                <w:lang w:eastAsia="zh-CN"/>
                              </w:rPr>
                              <w:t>T/CQFPA 001-2024</w:t>
                            </w:r>
                          </w:p>
                          <w:p w14:paraId="63F0B514">
                            <w:pPr>
                              <w:pStyle w:val="265"/>
                              <w:bidi w:val="0"/>
                              <w:rPr>
                                <w:rFonts w:hint="eastAsia"/>
                                <w:lang w:eastAsia="zh-CN"/>
                              </w:rPr>
                            </w:pPr>
                            <w:r>
                              <w:rPr>
                                <w:rFonts w:hint="eastAsia"/>
                                <w:lang w:val="en-US" w:eastAsia="zh-CN"/>
                              </w:rPr>
                              <w:t xml:space="preserve">   </w:t>
                            </w:r>
                            <w:r>
                              <w:rPr>
                                <w:rFonts w:hint="eastAsia"/>
                                <w:lang w:eastAsia="zh-CN"/>
                              </w:rPr>
                              <w:t>T/SCXFXH 001-2024</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M7K+3AAAAAwBAAAPAAAAAAAAAAEAIAAAACIAAABkcnMvZG93bnJldi54bWxQSwECFAAU&#10;AAAACACHTuJAMZWdjF8CAACMBAAADgAAAAAAAAABACAAAAArAQAAZHJzL2Uyb0RvYy54bWxQSwUG&#10;AAAAAAYABgBZAQAA/AUAAAAA&#10;">
                <v:fill on="t" focussize="0,0"/>
                <v:stroke on="f" weight="0.5pt"/>
                <v:imagedata o:title=""/>
                <o:lock v:ext="edit" aspectratio="f"/>
                <v:textbox inset="0mm,0mm,2.54mm,0mm">
                  <w:txbxContent>
                    <w:p w14:paraId="068113D6">
                      <w:pPr>
                        <w:pStyle w:val="265"/>
                        <w:bidi w:val="0"/>
                        <w:rPr>
                          <w:rFonts w:hint="eastAsia"/>
                          <w:lang w:eastAsia="zh-CN"/>
                        </w:rPr>
                      </w:pPr>
                      <w:r>
                        <w:rPr>
                          <w:rFonts w:hint="eastAsia"/>
                          <w:lang w:eastAsia="zh-CN"/>
                        </w:rPr>
                        <w:t>T/CQFPA 001-2024</w:t>
                      </w:r>
                    </w:p>
                    <w:p w14:paraId="63F0B514">
                      <w:pPr>
                        <w:pStyle w:val="265"/>
                        <w:bidi w:val="0"/>
                        <w:rPr>
                          <w:rFonts w:hint="eastAsia"/>
                          <w:lang w:eastAsia="zh-CN"/>
                        </w:rPr>
                      </w:pPr>
                      <w:r>
                        <w:rPr>
                          <w:rFonts w:hint="eastAsia"/>
                          <w:lang w:val="en-US" w:eastAsia="zh-CN"/>
                        </w:rPr>
                        <w:t xml:space="preserve">   </w:t>
                      </w:r>
                      <w:r>
                        <w:rPr>
                          <w:rFonts w:hint="eastAsia"/>
                          <w:lang w:eastAsia="zh-CN"/>
                        </w:rPr>
                        <w:t>T/SCXFXH 001-2024</w:t>
                      </w:r>
                    </w:p>
                  </w:txbxContent>
                </v:textbox>
              </v:shape>
            </w:pict>
          </mc:Fallback>
        </mc:AlternateContent>
      </w:r>
    </w:p>
    <w:sdt>
      <w:sdtPr>
        <w:rPr>
          <w:rFonts w:ascii="宋体" w:hAnsi="宋体" w:eastAsia="宋体" w:cs="Times New Roman"/>
          <w:color w:val="auto"/>
          <w:kern w:val="2"/>
          <w:sz w:val="21"/>
          <w:szCs w:val="24"/>
          <w:lang w:val="en-US" w:eastAsia="zh-CN" w:bidi="ar-SA"/>
        </w:rPr>
        <w:id w:val="147471240"/>
        <w15:color w:val="DBDBDB"/>
        <w:docPartObj>
          <w:docPartGallery w:val="Table of Contents"/>
          <w:docPartUnique/>
        </w:docPartObj>
      </w:sdtPr>
      <w:sdtEndPr>
        <w:rPr>
          <w:rFonts w:hint="eastAsia" w:ascii="Times New Roman" w:hAnsi="Times New Roman" w:eastAsia="宋体" w:cs="Times New Roman"/>
          <w:color w:val="auto"/>
          <w:kern w:val="2"/>
          <w:sz w:val="21"/>
          <w:szCs w:val="24"/>
          <w:lang w:val="en-US" w:eastAsia="zh-CN" w:bidi="ar-SA"/>
        </w:rPr>
      </w:sdtEndPr>
      <w:sdtContent>
        <w:p w14:paraId="399BA783">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rPr>
          </w:pPr>
          <w:bookmarkStart w:id="6" w:name="标准目次"/>
          <w:bookmarkEnd w:id="6"/>
          <w:r>
            <w:rPr>
              <w:rFonts w:hint="eastAsia" w:ascii="黑体" w:hAnsi="黑体" w:eastAsia="黑体" w:cs="黑体"/>
              <w:color w:val="auto"/>
              <w:sz w:val="32"/>
              <w:szCs w:val="32"/>
              <w:lang w:eastAsia="zh-CN"/>
            </w:rPr>
            <w:t>目    次</w:t>
          </w:r>
        </w:p>
        <w:p w14:paraId="2076CCDF">
          <w:pPr>
            <w:pStyle w:val="19"/>
            <w:tabs>
              <w:tab w:val="right" w:leader="dot" w:pos="9355"/>
            </w:tabs>
            <w:rPr>
              <w:rFonts w:hint="eastAsia" w:ascii="宋体" w:hAnsi="宋体" w:eastAsia="宋体" w:cs="宋体"/>
              <w:color w:val="auto"/>
            </w:rPr>
          </w:pPr>
          <w:r>
            <w:rPr>
              <w:rFonts w:hint="eastAsia"/>
              <w:color w:val="auto"/>
              <w:lang w:eastAsia="zh-CN"/>
            </w:rPr>
            <w:fldChar w:fldCharType="begin"/>
          </w:r>
          <w:r>
            <w:rPr>
              <w:rFonts w:hint="eastAsia"/>
              <w:color w:val="auto"/>
              <w:lang w:eastAsia="zh-CN"/>
            </w:rPr>
            <w:instrText xml:space="preserve">TOC \o "1-3" \h \u </w:instrText>
          </w:r>
          <w:r>
            <w:rPr>
              <w:rFonts w:hint="eastAsia"/>
              <w:color w:val="auto"/>
              <w:lang w:eastAsia="zh-CN"/>
            </w:rPr>
            <w:fldChar w:fldCharType="separate"/>
          </w: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_Toc266 </w:instrText>
          </w:r>
          <w:r>
            <w:rPr>
              <w:rFonts w:hint="eastAsia" w:ascii="宋体" w:hAnsi="宋体" w:eastAsia="宋体" w:cs="宋体"/>
              <w:color w:val="auto"/>
              <w:lang w:eastAsia="zh-CN"/>
            </w:rPr>
            <w:fldChar w:fldCharType="separate"/>
          </w:r>
          <w:r>
            <w:rPr>
              <w:rFonts w:hint="eastAsia" w:ascii="宋体" w:hAnsi="宋体" w:eastAsia="宋体" w:cs="宋体"/>
              <w:color w:val="auto"/>
              <w:lang w:eastAsia="zh-CN"/>
            </w:rPr>
            <w:t>前    言</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_Toc266 \h </w:instrText>
          </w:r>
          <w:r>
            <w:rPr>
              <w:rFonts w:hint="eastAsia" w:ascii="宋体" w:hAnsi="宋体" w:eastAsia="宋体" w:cs="宋体"/>
              <w:color w:val="auto"/>
            </w:rPr>
            <w:fldChar w:fldCharType="separate"/>
          </w:r>
          <w:r>
            <w:rPr>
              <w:rFonts w:hint="eastAsia" w:ascii="宋体" w:hAnsi="宋体" w:eastAsia="宋体" w:cs="宋体"/>
              <w:color w:val="auto"/>
            </w:rPr>
            <w:t>III</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2506989">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_Toc28038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rPr>
            <w:t xml:space="preserve">1 </w:t>
          </w:r>
          <w:r>
            <w:rPr>
              <w:rFonts w:hint="eastAsia" w:ascii="宋体" w:hAnsi="宋体" w:eastAsia="宋体" w:cs="宋体"/>
              <w:color w:val="auto"/>
            </w:rPr>
            <w:t>范围</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_Toc28038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242082E">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_Toc25896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rPr>
            <w:t xml:space="preserve">2 </w:t>
          </w:r>
          <w:r>
            <w:rPr>
              <w:rFonts w:hint="eastAsia" w:ascii="宋体" w:hAnsi="宋体" w:eastAsia="宋体" w:cs="宋体"/>
              <w:color w:val="auto"/>
            </w:rPr>
            <w:t>规范性引用文件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_Toc25896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63EEC1E3">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_Toc11952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rPr>
            <w:t xml:space="preserve">3 </w:t>
          </w:r>
          <w:r>
            <w:rPr>
              <w:rFonts w:hint="eastAsia" w:ascii="宋体" w:hAnsi="宋体" w:eastAsia="宋体" w:cs="宋体"/>
              <w:color w:val="auto"/>
            </w:rPr>
            <w:t>术语和定义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_Toc11952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6290E81E">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_Toc18880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rPr>
            <w:t xml:space="preserve">4 </w:t>
          </w:r>
          <w:r>
            <w:rPr>
              <w:rFonts w:hint="eastAsia" w:ascii="宋体" w:hAnsi="宋体" w:eastAsia="宋体" w:cs="宋体"/>
              <w:color w:val="auto"/>
              <w:lang w:val="en-US" w:eastAsia="zh-CN"/>
            </w:rPr>
            <w:t>一般规定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_Toc18880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190AD27D">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_Toc14025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lang w:val="en-US" w:eastAsia="zh-CN"/>
            </w:rPr>
            <w:t xml:space="preserve">5 </w:t>
          </w:r>
          <w:r>
            <w:rPr>
              <w:rFonts w:hint="eastAsia" w:ascii="宋体" w:hAnsi="宋体" w:eastAsia="宋体" w:cs="宋体"/>
              <w:color w:val="auto"/>
              <w:lang w:val="en-US" w:eastAsia="zh-CN"/>
            </w:rPr>
            <w:t>检测流程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_Toc14025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2961558">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_Toc1394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highlight w:val="none"/>
              <w:lang w:val="en-US" w:eastAsia="zh-CN"/>
            </w:rPr>
            <w:t>5.1  检测流程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_Toc1394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17BABB1">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_Toc9947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highlight w:val="none"/>
              <w:lang w:val="en-US" w:eastAsia="zh-CN"/>
            </w:rPr>
            <w:t>5.2  检测要求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_Toc9947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E702E17">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_Toc28260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highlight w:val="none"/>
              <w:lang w:val="en-US" w:eastAsia="zh-CN"/>
            </w:rPr>
            <w:t>5.3  抽样原则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_Toc28260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5270BCC8">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_Toc22702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lang w:val="en-US" w:eastAsia="zh-CN"/>
            </w:rPr>
            <w:t xml:space="preserve">6 </w:t>
          </w:r>
          <w:r>
            <w:rPr>
              <w:rFonts w:hint="eastAsia" w:ascii="宋体" w:hAnsi="宋体" w:eastAsia="宋体" w:cs="宋体"/>
              <w:color w:val="auto"/>
            </w:rPr>
            <w:t>技术要求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_Toc22702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A6C4FF6">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_Toc19086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6.1  变配电装置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_Toc19086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15A6F44">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_Toc18533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 xml:space="preserve">6.2  </w:t>
          </w:r>
          <w:r>
            <w:rPr>
              <w:rFonts w:hint="eastAsia" w:ascii="宋体" w:hAnsi="宋体" w:eastAsia="宋体" w:cs="宋体"/>
              <w:color w:val="auto"/>
              <w:spacing w:val="11"/>
              <w:szCs w:val="21"/>
              <w:lang w:val="en-US" w:eastAsia="zh-CN"/>
            </w:rPr>
            <w:t>低压电器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_Toc18533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4115703A">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_Toc25452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6.3</w:t>
          </w:r>
          <w:r>
            <w:rPr>
              <w:rFonts w:hint="eastAsia" w:ascii="宋体" w:hAnsi="宋体" w:eastAsia="宋体" w:cs="宋体"/>
              <w:color w:val="auto"/>
              <w:spacing w:val="11"/>
              <w:szCs w:val="21"/>
              <w:lang w:val="en-US" w:eastAsia="zh-CN"/>
            </w:rPr>
            <w:t xml:space="preserve">  低压配电线路</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_Toc25452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AE5861D">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_Toc26598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6.4</w:t>
          </w:r>
          <w:r>
            <w:rPr>
              <w:rFonts w:hint="eastAsia" w:ascii="宋体" w:hAnsi="宋体" w:eastAsia="宋体" w:cs="宋体"/>
              <w:color w:val="auto"/>
              <w:spacing w:val="8"/>
              <w:szCs w:val="21"/>
              <w:lang w:val="en-US" w:eastAsia="zh-CN"/>
            </w:rPr>
            <w:t xml:space="preserve">  照明灯具和开关、插座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_Toc26598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20E5EA71">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_Toc24635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6.5</w:t>
          </w:r>
          <w:r>
            <w:rPr>
              <w:rFonts w:hint="eastAsia" w:ascii="宋体" w:hAnsi="宋体" w:eastAsia="宋体" w:cs="宋体"/>
              <w:color w:val="auto"/>
              <w:spacing w:val="8"/>
              <w:szCs w:val="21"/>
              <w:lang w:val="en-US" w:eastAsia="zh-CN"/>
            </w:rPr>
            <w:t xml:space="preserve">  常用电器装置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_Toc24635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5AC5FBE8">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_Toc4768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6.6</w:t>
          </w:r>
          <w:r>
            <w:rPr>
              <w:rFonts w:hint="eastAsia" w:ascii="宋体" w:hAnsi="宋体" w:eastAsia="宋体" w:cs="宋体"/>
              <w:color w:val="auto"/>
              <w:spacing w:val="8"/>
              <w:szCs w:val="21"/>
              <w:lang w:val="en-US" w:eastAsia="zh-CN"/>
            </w:rPr>
            <w:t xml:space="preserve">  其它用电装置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_Toc4768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1893161C">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_Toc25393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kern w:val="0"/>
              <w:szCs w:val="21"/>
              <w:lang w:val="en-US" w:eastAsia="zh-CN" w:bidi="ar"/>
            </w:rPr>
            <w:t>6.7</w:t>
          </w:r>
          <w:r>
            <w:rPr>
              <w:rFonts w:hint="eastAsia" w:ascii="宋体" w:hAnsi="宋体" w:eastAsia="宋体" w:cs="宋体"/>
              <w:color w:val="auto"/>
              <w:spacing w:val="11"/>
              <w:szCs w:val="21"/>
              <w:lang w:val="en-US" w:eastAsia="zh-CN"/>
            </w:rPr>
            <w:t xml:space="preserve">  接地和等电位联结</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_Toc25393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40DDCC23">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_Toc2377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lang w:val="en-US" w:eastAsia="zh-CN"/>
            </w:rPr>
            <w:t xml:space="preserve">7 </w:t>
          </w:r>
          <w:r>
            <w:rPr>
              <w:rFonts w:hint="eastAsia" w:ascii="宋体" w:hAnsi="宋体" w:eastAsia="宋体" w:cs="宋体"/>
              <w:color w:val="auto"/>
              <w:lang w:val="en-US" w:eastAsia="zh-CN"/>
            </w:rPr>
            <w:t>检测方法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_Toc2377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22D09D42">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_Toc3248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highlight w:val="none"/>
              <w:lang w:val="en-US" w:eastAsia="zh-CN"/>
            </w:rPr>
            <w:t>7.1  检测方法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_Toc3248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68857DCA">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_Toc10649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highlight w:val="none"/>
              <w:lang w:val="en-US" w:eastAsia="zh-CN"/>
            </w:rPr>
            <w:t>7.2  判定标准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_Toc10649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32722FAC">
          <w:pPr>
            <w:pStyle w:val="18"/>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_Toc7859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zCs w:val="21"/>
              <w:lang w:val="en-US" w:eastAsia="zh-CN"/>
            </w:rPr>
            <w:t xml:space="preserve">8 </w:t>
          </w:r>
          <w:r>
            <w:rPr>
              <w:rFonts w:hint="eastAsia" w:ascii="宋体" w:hAnsi="宋体" w:eastAsia="宋体" w:cs="宋体"/>
              <w:color w:val="auto"/>
              <w:lang w:val="en-US" w:eastAsia="zh-CN"/>
            </w:rPr>
            <w:t>检测记录与报告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_Toc7859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555DDD21">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_Toc22616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lang w:val="en-US" w:eastAsia="zh-CN"/>
            </w:rPr>
            <w:t>8.1  检测记录要求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_Toc22616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187CA6F">
          <w:pPr>
            <w:pStyle w:val="17"/>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_Toc11072 </w:instrText>
          </w:r>
          <w:r>
            <w:rPr>
              <w:rFonts w:hint="eastAsia" w:ascii="宋体" w:hAnsi="宋体" w:eastAsia="宋体" w:cs="宋体"/>
              <w:color w:val="auto"/>
              <w:lang w:eastAsia="zh-CN"/>
            </w:rPr>
            <w:fldChar w:fldCharType="separate"/>
          </w:r>
          <w:r>
            <w:rPr>
              <w:rFonts w:hint="eastAsia" w:ascii="宋体" w:hAnsi="宋体" w:eastAsia="宋体" w:cs="宋体"/>
              <w:snapToGrid w:val="0"/>
              <w:color w:val="auto"/>
              <w:spacing w:val="8"/>
              <w:kern w:val="0"/>
              <w:szCs w:val="21"/>
              <w:lang w:val="en-US" w:eastAsia="zh-CN"/>
            </w:rPr>
            <w:t>8.2  检测报告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_Toc11072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49F9ECA1">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_Toc4851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A </w:t>
          </w:r>
          <w:r>
            <w:rPr>
              <w:rFonts w:hint="eastAsia" w:ascii="宋体" w:hAnsi="宋体" w:eastAsia="宋体" w:cs="宋体"/>
              <w:color w:val="auto"/>
              <w:lang w:val="en-US" w:eastAsia="zh-CN"/>
            </w:rPr>
            <w:t xml:space="preserve"> （规范性） 项目人员配置要求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_Toc4851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6D635433">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_Toc23242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B </w:t>
          </w:r>
          <w:r>
            <w:rPr>
              <w:rFonts w:hint="eastAsia" w:ascii="宋体" w:hAnsi="宋体" w:eastAsia="宋体" w:cs="宋体"/>
              <w:color w:val="auto"/>
              <w:lang w:val="en-US" w:eastAsia="zh-CN"/>
            </w:rPr>
            <w:t xml:space="preserve"> （规范性） IP防护等级划分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_Toc23242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28BACDE">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_Toc26082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C </w:t>
          </w:r>
          <w:r>
            <w:rPr>
              <w:rFonts w:hint="eastAsia" w:ascii="宋体" w:hAnsi="宋体" w:eastAsia="宋体" w:cs="宋体"/>
              <w:color w:val="auto"/>
              <w:lang w:val="en-US" w:eastAsia="zh-CN"/>
            </w:rPr>
            <w:t xml:space="preserve"> （规范性） 检查条款危险等级划分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_Toc26082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76A4DFF7">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_Toc15987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D </w:t>
          </w:r>
          <w:r>
            <w:rPr>
              <w:rFonts w:hint="eastAsia" w:ascii="宋体" w:hAnsi="宋体" w:eastAsia="宋体" w:cs="宋体"/>
              <w:color w:val="auto"/>
              <w:lang w:val="en-US" w:eastAsia="zh-CN"/>
            </w:rPr>
            <w:t xml:space="preserve"> （规范性） 特殊场所检测要求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_Toc15987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099E2D0C">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_Toc8738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E </w:t>
          </w:r>
          <w:r>
            <w:rPr>
              <w:rFonts w:hint="eastAsia" w:ascii="宋体" w:hAnsi="宋体" w:eastAsia="宋体" w:cs="宋体"/>
              <w:color w:val="auto"/>
              <w:lang w:val="en-US" w:eastAsia="zh-CN"/>
            </w:rPr>
            <w:t xml:space="preserve"> （资料性） 检测仪器基本配置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_Toc8738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211AF2FE">
          <w:pPr>
            <w:pStyle w:val="19"/>
            <w:tabs>
              <w:tab w:val="right" w:leader="dot" w:pos="9355"/>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_Toc24095 </w:instrText>
          </w:r>
          <w:r>
            <w:rPr>
              <w:rFonts w:hint="eastAsia" w:ascii="宋体" w:hAnsi="宋体" w:eastAsia="宋体" w:cs="宋体"/>
              <w:color w:val="auto"/>
              <w:lang w:eastAsia="zh-CN"/>
            </w:rPr>
            <w:fldChar w:fldCharType="separate"/>
          </w:r>
          <w:r>
            <w:rPr>
              <w:rFonts w:hint="eastAsia" w:ascii="宋体" w:hAnsi="宋体" w:eastAsia="宋体" w:cs="宋体"/>
              <w:i w:val="0"/>
              <w:color w:val="auto"/>
              <w:spacing w:val="0"/>
              <w:w w:val="100"/>
              <w:lang w:val="en-US" w:eastAsia="zh-CN"/>
            </w:rPr>
            <w:t xml:space="preserve">附　录　F </w:t>
          </w:r>
          <w:r>
            <w:rPr>
              <w:rFonts w:hint="eastAsia" w:ascii="宋体" w:hAnsi="宋体" w:eastAsia="宋体" w:cs="宋体"/>
              <w:color w:val="auto"/>
              <w:lang w:val="en-US" w:eastAsia="zh-CN"/>
            </w:rPr>
            <w:t xml:space="preserve"> （资料性） 检测报告样式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_Toc24095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6FADD3DB">
          <w:pPr>
            <w:pStyle w:val="19"/>
            <w:tabs>
              <w:tab w:val="right" w:leader="dot" w:pos="9355"/>
            </w:tabs>
            <w:rPr>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_Toc10108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参  考  文  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_Toc10108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14:paraId="213F0C5B">
          <w:pPr>
            <w:pStyle w:val="74"/>
            <w:bidi w:val="0"/>
            <w:rPr>
              <w:rFonts w:hint="eastAsia"/>
              <w:color w:val="auto"/>
              <w:lang w:eastAsia="zh-CN"/>
            </w:rPr>
          </w:pPr>
          <w:r>
            <w:rPr>
              <w:rFonts w:hint="eastAsia"/>
              <w:color w:val="auto"/>
              <w:lang w:eastAsia="zh-CN"/>
            </w:rPr>
            <w:fldChar w:fldCharType="end"/>
          </w:r>
        </w:p>
        <w:p w14:paraId="0A65E128">
          <w:pPr>
            <w:pStyle w:val="74"/>
            <w:bidi w:val="0"/>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TOC \t "正文表标题,1,附录表标题,1" \h \z \c</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_Toc22379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表1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干式电力变压器温度限值</w:t>
          </w:r>
          <w:r>
            <w:rPr>
              <w:rFonts w:hint="eastAsia" w:ascii="宋体" w:hAnsi="宋体" w:eastAsia="宋体" w:cs="宋体"/>
              <w:b w:val="0"/>
              <w:color w:val="auto"/>
              <w:sz w:val="21"/>
            </w:rPr>
            <w:tab/>
          </w:r>
          <w:r>
            <w:rPr>
              <w:rFonts w:hint="eastAsia" w:cs="宋体"/>
              <w:b w:val="0"/>
              <w:color w:val="auto"/>
              <w:sz w:val="21"/>
              <w:lang w:val="en-US" w:eastAsia="zh-CN"/>
            </w:rPr>
            <w:t>............................................................</w:t>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_Toc22379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6E04B82">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_Toc10773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表2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交流高压电器触头及导体连接端子在空气中最高允许温度</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_Toc10773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3246F13A">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_Toc16426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表3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低压电器与外部连接的接线端子的允许温升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_Toc16426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C2F3160">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_Toc31842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表4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电力电缆最高允许温度和表面允许温升值</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_Toc31842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6</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E8F44B3">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_Toc4671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表5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照明灯具与可燃物之间的安全距离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_Toc4671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9</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BD255F0">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_Toc24392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表6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交流低压母线各部位的允许温升</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_Toc24392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37EC9DF">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_Toc16833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kern w:val="0"/>
              <w:sz w:val="21"/>
              <w:szCs w:val="21"/>
              <w:vertAlign w:val="baseline"/>
              <w:lang w:val="en-US" w:eastAsia="zh-CN"/>
              <w14:cntxtalts w14:val="0"/>
            </w:rPr>
            <w:t xml:space="preserve">表7 </w:t>
          </w:r>
          <w:r>
            <w:rPr>
              <w:rFonts w:hint="eastAsia" w:cs="宋体"/>
              <w:b w:val="0"/>
              <w:i w:val="0"/>
              <w:caps w:val="0"/>
              <w:strike w:val="0"/>
              <w:dstrike w:val="0"/>
              <w:snapToGrid w:val="0"/>
              <w:vanish w:val="0"/>
              <w:color w:val="auto"/>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相导体截面积与保护导体的最小截面对应关系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_Toc16833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002A3516">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_Toc8900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snapToGrid w:val="0"/>
              <w:vanish w:val="0"/>
              <w:color w:val="auto"/>
              <w:spacing w:val="8"/>
              <w:kern w:val="0"/>
              <w:sz w:val="21"/>
              <w:szCs w:val="21"/>
              <w:vertAlign w:val="baseline"/>
              <w:lang w:val="en-US" w:eastAsia="zh-CN"/>
              <w14:cntxtalts w14:val="0"/>
            </w:rPr>
            <w:t>表</w:t>
          </w:r>
          <w:r>
            <w:rPr>
              <w:rFonts w:hint="eastAsia" w:cs="宋体"/>
              <w:b w:val="0"/>
              <w:i w:val="0"/>
              <w:caps w:val="0"/>
              <w:strike w:val="0"/>
              <w:dstrike w:val="0"/>
              <w:snapToGrid w:val="0"/>
              <w:vanish w:val="0"/>
              <w:color w:val="auto"/>
              <w:spacing w:val="8"/>
              <w:kern w:val="0"/>
              <w:sz w:val="21"/>
              <w:szCs w:val="21"/>
              <w:vertAlign w:val="baseline"/>
              <w:lang w:val="en-US" w:eastAsia="zh-CN"/>
              <w14:cntxtalts w14:val="0"/>
            </w:rPr>
            <w:t>8</w:t>
          </w:r>
          <w:r>
            <w:rPr>
              <w:rFonts w:hint="eastAsia" w:ascii="宋体" w:hAnsi="宋体" w:eastAsia="宋体" w:cs="宋体"/>
              <w:b w:val="0"/>
              <w:i w:val="0"/>
              <w:caps w:val="0"/>
              <w:strike w:val="0"/>
              <w:dstrike w:val="0"/>
              <w:snapToGrid w:val="0"/>
              <w:vanish w:val="0"/>
              <w:color w:val="auto"/>
              <w:spacing w:val="8"/>
              <w:kern w:val="0"/>
              <w:sz w:val="21"/>
              <w:szCs w:val="21"/>
              <w:vertAlign w:val="baseline"/>
              <w:lang w:val="en-US" w:eastAsia="zh-CN"/>
              <w14:cntxtalts w14:val="0"/>
            </w:rPr>
            <w:t xml:space="preserve"> </w:t>
          </w:r>
          <w:r>
            <w:rPr>
              <w:rFonts w:hint="eastAsia" w:cs="宋体"/>
              <w:b w:val="0"/>
              <w:i w:val="0"/>
              <w:caps w:val="0"/>
              <w:strike w:val="0"/>
              <w:dstrike w:val="0"/>
              <w:snapToGrid w:val="0"/>
              <w:vanish w:val="0"/>
              <w:color w:val="auto"/>
              <w:spacing w:val="8"/>
              <w:kern w:val="0"/>
              <w:sz w:val="21"/>
              <w:szCs w:val="21"/>
              <w:vertAlign w:val="baseline"/>
              <w:lang w:val="en-US" w:eastAsia="zh-CN"/>
              <w14:cntxtalts w14:val="0"/>
            </w:rPr>
            <w:t xml:space="preserve"> </w:t>
          </w:r>
          <w:r>
            <w:rPr>
              <w:rFonts w:hint="eastAsia" w:ascii="宋体" w:hAnsi="宋体" w:eastAsia="宋体" w:cs="宋体"/>
              <w:b w:val="0"/>
              <w:color w:val="auto"/>
              <w:sz w:val="21"/>
              <w:lang w:val="en-US" w:eastAsia="zh-CN"/>
            </w:rPr>
            <w:t>技术要点项、子项、单项分类</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_Toc8900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17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5E1A2B9D">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_Toc10053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lang w:val="en-US" w:eastAsia="zh-CN"/>
            </w:rPr>
            <w:t xml:space="preserve">表A.1 </w:t>
          </w:r>
          <w:r>
            <w:rPr>
              <w:rFonts w:hint="eastAsia" w:cs="宋体"/>
              <w:b w:val="0"/>
              <w:i w:val="0"/>
              <w:caps w:val="0"/>
              <w:strike w:val="0"/>
              <w:dstrike w:val="0"/>
              <w:vanish w:val="0"/>
              <w:color w:val="auto"/>
              <w:sz w:val="21"/>
              <w:lang w:val="en-US" w:eastAsia="zh-CN"/>
            </w:rPr>
            <w:t xml:space="preserve"> 项目人员配置要求</w:t>
          </w:r>
          <w:r>
            <w:rPr>
              <w:rFonts w:hint="eastAsia" w:ascii="宋体" w:hAnsi="宋体" w:eastAsia="宋体" w:cs="宋体"/>
              <w:b w:val="0"/>
              <w:color w:val="auto"/>
              <w:sz w:val="21"/>
              <w:lang w:val="en-US" w:eastAsia="zh-CN"/>
            </w:rPr>
            <w:t>表</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_Toc10053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cs="宋体"/>
              <w:b w:val="0"/>
              <w:color w:val="auto"/>
              <w:sz w:val="21"/>
              <w:lang w:val="en-US" w:eastAsia="zh-CN"/>
            </w:rPr>
            <w:t>0</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0EA8FB9">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_Toc870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rPr>
            <w:t xml:space="preserve">表B.1 </w:t>
          </w:r>
          <w:r>
            <w:rPr>
              <w:rFonts w:hint="eastAsia" w:cs="宋体"/>
              <w:b w:val="0"/>
              <w:i w:val="0"/>
              <w:caps w:val="0"/>
              <w:strike w:val="0"/>
              <w:dstrike w:val="0"/>
              <w:vanish w:val="0"/>
              <w:color w:val="auto"/>
              <w:sz w:val="21"/>
              <w:lang w:val="en-US" w:eastAsia="zh-CN"/>
            </w:rPr>
            <w:t xml:space="preserve"> </w:t>
          </w:r>
          <w:r>
            <w:rPr>
              <w:rFonts w:hint="eastAsia" w:ascii="宋体" w:hAnsi="宋体" w:eastAsia="宋体" w:cs="宋体"/>
              <w:b w:val="0"/>
              <w:color w:val="auto"/>
              <w:sz w:val="21"/>
            </w:rPr>
            <w:t>防固体异物进入（第一位数字）</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_Toc870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08697C0">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_Toc30925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rPr>
            <w:t xml:space="preserve">表B.2 </w:t>
          </w:r>
          <w:r>
            <w:rPr>
              <w:rFonts w:hint="eastAsia" w:cs="宋体"/>
              <w:b w:val="0"/>
              <w:i w:val="0"/>
              <w:caps w:val="0"/>
              <w:strike w:val="0"/>
              <w:dstrike w:val="0"/>
              <w:vanish w:val="0"/>
              <w:color w:val="auto"/>
              <w:sz w:val="21"/>
              <w:lang w:val="en-US" w:eastAsia="zh-CN"/>
            </w:rPr>
            <w:t xml:space="preserve"> </w:t>
          </w:r>
          <w:r>
            <w:rPr>
              <w:rFonts w:hint="eastAsia" w:ascii="宋体" w:hAnsi="宋体" w:eastAsia="宋体" w:cs="宋体"/>
              <w:b w:val="0"/>
              <w:color w:val="auto"/>
              <w:sz w:val="21"/>
            </w:rPr>
            <w:t>防水进入（第二位数字）</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_Toc30925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21</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42DA2AEB">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_Toc26409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lang w:val="en-US" w:eastAsia="zh-CN"/>
            </w:rPr>
            <w:t xml:space="preserve">表C.1 </w:t>
          </w:r>
          <w:r>
            <w:rPr>
              <w:rFonts w:hint="eastAsia" w:cs="宋体"/>
              <w:b w:val="0"/>
              <w:i w:val="0"/>
              <w:caps w:val="0"/>
              <w:strike w:val="0"/>
              <w:dstrike w:val="0"/>
              <w:vanish w:val="0"/>
              <w:color w:val="auto"/>
              <w:sz w:val="21"/>
              <w:lang w:val="en-US" w:eastAsia="zh-CN"/>
            </w:rPr>
            <w:t xml:space="preserve"> </w:t>
          </w:r>
          <w:r>
            <w:rPr>
              <w:color w:val="auto"/>
              <w:lang w:val="en-US" w:eastAsia="zh-CN"/>
            </w:rPr>
            <w:t>直观检查条款危险等级划分表</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_Toc26409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cs="宋体"/>
              <w:b w:val="0"/>
              <w:color w:val="auto"/>
              <w:sz w:val="21"/>
              <w:lang w:val="en-US" w:eastAsia="zh-CN"/>
            </w:rPr>
            <w:t>2</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2C987C19">
          <w:pPr>
            <w:pStyle w:val="74"/>
            <w:tabs>
              <w:tab w:val="right" w:leader="dot" w:pos="9355"/>
            </w:tabs>
            <w:rPr>
              <w:rFonts w:hint="eastAsia" w:ascii="宋体" w:hAnsi="宋体" w:eastAsia="宋体" w:cs="宋体"/>
              <w:b w:val="0"/>
              <w:color w:val="auto"/>
              <w:sz w:val="21"/>
              <w:lang w:eastAsia="zh-CN"/>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_Toc11408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lang w:val="en-US" w:eastAsia="zh-CN"/>
            </w:rPr>
            <w:t>表</w:t>
          </w:r>
          <w:r>
            <w:rPr>
              <w:rFonts w:hint="eastAsia" w:cs="宋体"/>
              <w:b w:val="0"/>
              <w:i w:val="0"/>
              <w:caps w:val="0"/>
              <w:strike w:val="0"/>
              <w:dstrike w:val="0"/>
              <w:vanish w:val="0"/>
              <w:color w:val="auto"/>
              <w:sz w:val="21"/>
              <w:lang w:val="en-US" w:eastAsia="zh-CN"/>
            </w:rPr>
            <w:t>C</w:t>
          </w:r>
          <w:r>
            <w:rPr>
              <w:rFonts w:hint="eastAsia" w:ascii="宋体" w:hAnsi="宋体" w:eastAsia="宋体" w:cs="宋体"/>
              <w:b w:val="0"/>
              <w:i w:val="0"/>
              <w:caps w:val="0"/>
              <w:strike w:val="0"/>
              <w:dstrike w:val="0"/>
              <w:vanish w:val="0"/>
              <w:color w:val="auto"/>
              <w:sz w:val="21"/>
              <w:lang w:val="en-US" w:eastAsia="zh-CN"/>
            </w:rPr>
            <w:t>.</w:t>
          </w:r>
          <w:r>
            <w:rPr>
              <w:rFonts w:hint="eastAsia" w:cs="宋体"/>
              <w:b w:val="0"/>
              <w:i w:val="0"/>
              <w:caps w:val="0"/>
              <w:strike w:val="0"/>
              <w:dstrike w:val="0"/>
              <w:vanish w:val="0"/>
              <w:color w:val="auto"/>
              <w:sz w:val="21"/>
              <w:lang w:val="en-US" w:eastAsia="zh-CN"/>
            </w:rPr>
            <w:t>2</w:t>
          </w:r>
          <w:r>
            <w:rPr>
              <w:rFonts w:hint="eastAsia" w:ascii="宋体" w:hAnsi="宋体" w:eastAsia="宋体" w:cs="宋体"/>
              <w:b w:val="0"/>
              <w:i w:val="0"/>
              <w:caps w:val="0"/>
              <w:strike w:val="0"/>
              <w:dstrike w:val="0"/>
              <w:vanish w:val="0"/>
              <w:color w:val="auto"/>
              <w:sz w:val="21"/>
              <w:lang w:val="en-US" w:eastAsia="zh-CN"/>
            </w:rPr>
            <w:t xml:space="preserve"> </w:t>
          </w:r>
          <w:r>
            <w:rPr>
              <w:rFonts w:hint="eastAsia" w:cs="宋体"/>
              <w:b w:val="0"/>
              <w:i w:val="0"/>
              <w:caps w:val="0"/>
              <w:strike w:val="0"/>
              <w:dstrike w:val="0"/>
              <w:vanish w:val="0"/>
              <w:color w:val="auto"/>
              <w:sz w:val="21"/>
              <w:lang w:val="en-US" w:eastAsia="zh-CN"/>
            </w:rPr>
            <w:t xml:space="preserve"> </w:t>
          </w:r>
          <w:r>
            <w:rPr>
              <w:rFonts w:hint="eastAsia"/>
              <w:color w:val="auto"/>
              <w:lang w:val="en-US" w:eastAsia="zh-CN"/>
            </w:rPr>
            <w:t>仪器检测条款电气火灾危险性分级标准</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_Toc11408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cs="宋体"/>
              <w:b w:val="0"/>
              <w:color w:val="auto"/>
              <w:sz w:val="21"/>
              <w:lang w:val="en-US" w:eastAsia="zh-CN"/>
            </w:rPr>
            <w:t>3</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7590B44A">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_Toc30294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lang w:val="en-US" w:eastAsia="zh-CN"/>
            </w:rPr>
            <w:t>表</w:t>
          </w:r>
          <w:r>
            <w:rPr>
              <w:rFonts w:hint="eastAsia" w:ascii="宋体" w:hAnsi="宋体" w:cs="宋体"/>
              <w:b w:val="0"/>
              <w:i w:val="0"/>
              <w:caps w:val="0"/>
              <w:strike w:val="0"/>
              <w:dstrike w:val="0"/>
              <w:vanish w:val="0"/>
              <w:color w:val="auto"/>
              <w:kern w:val="2"/>
              <w:sz w:val="21"/>
              <w:szCs w:val="24"/>
              <w:lang w:val="en-US" w:eastAsia="zh-CN" w:bidi="ar-SA"/>
            </w:rPr>
            <w:t>D</w:t>
          </w:r>
          <w:r>
            <w:rPr>
              <w:rFonts w:hint="eastAsia" w:ascii="宋体" w:hAnsi="宋体" w:eastAsia="宋体" w:cs="宋体"/>
              <w:b w:val="0"/>
              <w:i w:val="0"/>
              <w:caps w:val="0"/>
              <w:strike w:val="0"/>
              <w:dstrike w:val="0"/>
              <w:vanish w:val="0"/>
              <w:color w:val="auto"/>
              <w:kern w:val="2"/>
              <w:sz w:val="21"/>
              <w:szCs w:val="24"/>
              <w:lang w:val="en-US" w:eastAsia="zh-CN" w:bidi="ar-SA"/>
            </w:rPr>
            <w:t>.</w:t>
          </w:r>
          <w:r>
            <w:rPr>
              <w:rFonts w:hint="eastAsia" w:ascii="宋体" w:hAnsi="宋体" w:cs="宋体"/>
              <w:b w:val="0"/>
              <w:i w:val="0"/>
              <w:caps w:val="0"/>
              <w:strike w:val="0"/>
              <w:dstrike w:val="0"/>
              <w:vanish w:val="0"/>
              <w:color w:val="auto"/>
              <w:kern w:val="2"/>
              <w:sz w:val="21"/>
              <w:szCs w:val="24"/>
              <w:lang w:val="en-US" w:eastAsia="zh-CN" w:bidi="ar-SA"/>
            </w:rPr>
            <w:t xml:space="preserve">1  </w:t>
          </w:r>
          <w:r>
            <w:rPr>
              <w:rFonts w:hint="eastAsia" w:ascii="宋体" w:hAnsi="宋体" w:eastAsia="宋体" w:cs="宋体"/>
              <w:b w:val="0"/>
              <w:color w:val="auto"/>
              <w:sz w:val="21"/>
              <w:lang w:val="en-US" w:eastAsia="zh-CN"/>
            </w:rPr>
            <w:t>特殊场所检测要求表</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_Toc30294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24</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1DB5D8FB">
          <w:pPr>
            <w:pStyle w:val="74"/>
            <w:tabs>
              <w:tab w:val="right" w:leader="dot" w:pos="9355"/>
            </w:tabs>
            <w:rPr>
              <w:rFonts w:hint="eastAsia" w:ascii="宋体" w:hAnsi="宋体" w:eastAsia="宋体" w:cs="宋体"/>
              <w:b w:val="0"/>
              <w:color w:val="auto"/>
              <w:sz w:val="21"/>
            </w:rPr>
          </w:pPr>
          <w:r>
            <w:rPr>
              <w:rFonts w:hint="eastAsia" w:ascii="宋体" w:hAnsi="宋体" w:eastAsia="宋体" w:cs="宋体"/>
              <w:b w:val="0"/>
              <w:color w:val="auto"/>
              <w:sz w:val="21"/>
              <w:lang w:eastAsia="zh-CN"/>
            </w:rPr>
            <w:fldChar w:fldCharType="begin"/>
          </w:r>
          <w:r>
            <w:rPr>
              <w:rFonts w:hint="eastAsia" w:ascii="宋体" w:hAnsi="宋体" w:eastAsia="宋体" w:cs="宋体"/>
              <w:b w:val="0"/>
              <w:color w:val="auto"/>
              <w:sz w:val="21"/>
              <w:lang w:eastAsia="zh-CN"/>
            </w:rPr>
            <w:instrText xml:space="preserve"> HYPERLINK \l _Toc30294 </w:instrText>
          </w:r>
          <w:r>
            <w:rPr>
              <w:rFonts w:hint="eastAsia" w:ascii="宋体" w:hAnsi="宋体" w:eastAsia="宋体" w:cs="宋体"/>
              <w:b w:val="0"/>
              <w:color w:val="auto"/>
              <w:sz w:val="21"/>
              <w:lang w:eastAsia="zh-CN"/>
            </w:rPr>
            <w:fldChar w:fldCharType="separate"/>
          </w:r>
          <w:r>
            <w:rPr>
              <w:rFonts w:hint="eastAsia" w:ascii="宋体" w:hAnsi="宋体" w:eastAsia="宋体" w:cs="宋体"/>
              <w:b w:val="0"/>
              <w:i w:val="0"/>
              <w:caps w:val="0"/>
              <w:strike w:val="0"/>
              <w:dstrike w:val="0"/>
              <w:vanish w:val="0"/>
              <w:color w:val="auto"/>
              <w:sz w:val="21"/>
              <w:lang w:val="en-US" w:eastAsia="zh-CN"/>
            </w:rPr>
            <w:t>表</w:t>
          </w:r>
          <w:r>
            <w:rPr>
              <w:rFonts w:hint="eastAsia" w:cs="宋体"/>
              <w:b w:val="0"/>
              <w:i w:val="0"/>
              <w:caps w:val="0"/>
              <w:strike w:val="0"/>
              <w:dstrike w:val="0"/>
              <w:vanish w:val="0"/>
              <w:color w:val="auto"/>
              <w:sz w:val="21"/>
              <w:lang w:val="en-US" w:eastAsia="zh-CN"/>
            </w:rPr>
            <w:t>E</w:t>
          </w:r>
          <w:r>
            <w:rPr>
              <w:rFonts w:hint="eastAsia" w:ascii="宋体" w:hAnsi="宋体" w:eastAsia="宋体" w:cs="宋体"/>
              <w:b w:val="0"/>
              <w:i w:val="0"/>
              <w:caps w:val="0"/>
              <w:strike w:val="0"/>
              <w:dstrike w:val="0"/>
              <w:vanish w:val="0"/>
              <w:color w:val="auto"/>
              <w:sz w:val="21"/>
              <w:lang w:val="en-US" w:eastAsia="zh-CN"/>
            </w:rPr>
            <w:t xml:space="preserve">.1 </w:t>
          </w:r>
          <w:r>
            <w:rPr>
              <w:rFonts w:hint="eastAsia" w:cs="宋体"/>
              <w:b w:val="0"/>
              <w:i w:val="0"/>
              <w:caps w:val="0"/>
              <w:strike w:val="0"/>
              <w:dstrike w:val="0"/>
              <w:vanish w:val="0"/>
              <w:color w:val="auto"/>
              <w:sz w:val="21"/>
              <w:lang w:val="en-US" w:eastAsia="zh-CN"/>
            </w:rPr>
            <w:t xml:space="preserve"> 检测仪器基本配置</w:t>
          </w:r>
          <w:r>
            <w:rPr>
              <w:rFonts w:hint="eastAsia" w:ascii="宋体" w:hAnsi="宋体" w:eastAsia="宋体" w:cs="宋体"/>
              <w:b w:val="0"/>
              <w:color w:val="auto"/>
              <w:sz w:val="21"/>
            </w:rPr>
            <w:tab/>
          </w:r>
          <w:r>
            <w:rPr>
              <w:rFonts w:hint="eastAsia" w:ascii="宋体" w:hAnsi="宋体" w:eastAsia="宋体" w:cs="宋体"/>
              <w:b w:val="0"/>
              <w:color w:val="auto"/>
              <w:sz w:val="21"/>
            </w:rPr>
            <w:fldChar w:fldCharType="begin"/>
          </w:r>
          <w:r>
            <w:rPr>
              <w:rFonts w:hint="eastAsia" w:ascii="宋体" w:hAnsi="宋体" w:eastAsia="宋体" w:cs="宋体"/>
              <w:b w:val="0"/>
              <w:color w:val="auto"/>
              <w:sz w:val="21"/>
            </w:rPr>
            <w:instrText xml:space="preserve"> PAGEREF _Toc30294 \h </w:instrText>
          </w:r>
          <w:r>
            <w:rPr>
              <w:rFonts w:hint="eastAsia" w:ascii="宋体" w:hAnsi="宋体" w:eastAsia="宋体" w:cs="宋体"/>
              <w:b w:val="0"/>
              <w:color w:val="auto"/>
              <w:sz w:val="21"/>
            </w:rPr>
            <w:fldChar w:fldCharType="separate"/>
          </w:r>
          <w:r>
            <w:rPr>
              <w:rFonts w:hint="eastAsia" w:ascii="宋体" w:hAnsi="宋体" w:eastAsia="宋体" w:cs="宋体"/>
              <w:b w:val="0"/>
              <w:color w:val="auto"/>
              <w:sz w:val="21"/>
            </w:rPr>
            <w:t>2</w:t>
          </w:r>
          <w:r>
            <w:rPr>
              <w:rFonts w:hint="eastAsia" w:cs="宋体"/>
              <w:b w:val="0"/>
              <w:color w:val="auto"/>
              <w:sz w:val="21"/>
              <w:lang w:val="en-US" w:eastAsia="zh-CN"/>
            </w:rPr>
            <w:t>7</w:t>
          </w:r>
          <w:r>
            <w:rPr>
              <w:rFonts w:hint="eastAsia" w:ascii="宋体" w:hAnsi="宋体" w:eastAsia="宋体" w:cs="宋体"/>
              <w:b w:val="0"/>
              <w:color w:val="auto"/>
              <w:sz w:val="21"/>
            </w:rPr>
            <w:fldChar w:fldCharType="end"/>
          </w:r>
          <w:r>
            <w:rPr>
              <w:rFonts w:hint="eastAsia" w:ascii="宋体" w:hAnsi="宋体" w:eastAsia="宋体" w:cs="宋体"/>
              <w:b w:val="0"/>
              <w:color w:val="auto"/>
              <w:sz w:val="21"/>
              <w:lang w:eastAsia="zh-CN"/>
            </w:rPr>
            <w:fldChar w:fldCharType="end"/>
          </w:r>
        </w:p>
        <w:p w14:paraId="65C1F031">
          <w:pPr>
            <w:bidi w:val="0"/>
            <w:rPr>
              <w:rFonts w:hint="eastAsia"/>
              <w:color w:val="auto"/>
              <w:lang w:eastAsia="zh-CN"/>
            </w:rPr>
          </w:pPr>
          <w:r>
            <w:rPr>
              <w:rFonts w:hint="eastAsia" w:ascii="宋体" w:hAnsi="宋体" w:eastAsia="宋体" w:cs="宋体"/>
              <w:b w:val="0"/>
              <w:color w:val="auto"/>
              <w:sz w:val="21"/>
              <w:lang w:eastAsia="zh-CN"/>
            </w:rPr>
            <w:fldChar w:fldCharType="end"/>
          </w:r>
        </w:p>
      </w:sdtContent>
    </w:sdt>
    <w:p w14:paraId="5C594F48">
      <w:pPr>
        <w:bidi w:val="0"/>
        <w:rPr>
          <w:rFonts w:hint="eastAsia"/>
          <w:color w:val="auto"/>
          <w:lang w:eastAsia="zh-CN"/>
        </w:rPr>
      </w:pPr>
    </w:p>
    <w:p w14:paraId="6A45BC94">
      <w:pPr>
        <w:bidi w:val="0"/>
        <w:rPr>
          <w:rFonts w:hint="eastAsia"/>
          <w:color w:val="auto"/>
          <w:lang w:eastAsia="zh-CN"/>
        </w:rPr>
      </w:pPr>
    </w:p>
    <w:p w14:paraId="01CC0F12">
      <w:pPr>
        <w:bidi w:val="0"/>
        <w:rPr>
          <w:rFonts w:hint="eastAsia"/>
          <w:color w:val="auto"/>
          <w:lang w:eastAsia="zh-CN"/>
        </w:rPr>
      </w:pPr>
    </w:p>
    <w:p w14:paraId="08C86C7F">
      <w:pPr>
        <w:bidi w:val="0"/>
        <w:rPr>
          <w:rFonts w:hint="eastAsia"/>
          <w:color w:val="auto"/>
          <w:lang w:eastAsia="zh-CN"/>
        </w:rPr>
      </w:pPr>
    </w:p>
    <w:p w14:paraId="27B45086">
      <w:pPr>
        <w:tabs>
          <w:tab w:val="left" w:pos="6492"/>
        </w:tabs>
        <w:bidi w:val="0"/>
        <w:jc w:val="left"/>
        <w:rPr>
          <w:rFonts w:hint="eastAsia"/>
          <w:color w:val="auto"/>
          <w:lang w:eastAsia="zh-CN"/>
        </w:rPr>
        <w:sectPr>
          <w:headerReference r:id="rId10"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r>
        <w:rPr>
          <w:rFonts w:hint="eastAsia"/>
          <w:color w:val="auto"/>
          <w:lang w:eastAsia="zh-CN"/>
        </w:rPr>
        <w:tab/>
      </w:r>
    </w:p>
    <w:p w14:paraId="2EA708E1">
      <w:pPr>
        <w:pStyle w:val="256"/>
        <w:bidi w:val="0"/>
        <w:rPr>
          <w:rFonts w:hint="eastAsia"/>
          <w:color w:val="auto"/>
          <w:lang w:eastAsia="zh-CN"/>
        </w:rPr>
      </w:pPr>
      <w:bookmarkStart w:id="7" w:name="标准前言"/>
      <w:bookmarkEnd w:id="7"/>
      <w:bookmarkStart w:id="8" w:name="_Toc23312"/>
      <w:bookmarkStart w:id="9" w:name="_Toc8769"/>
      <w:bookmarkStart w:id="10" w:name="_Toc266"/>
      <w:bookmarkStart w:id="11" w:name="_Toc16855"/>
      <w:bookmarkStart w:id="12" w:name="_Toc4015"/>
      <w:bookmarkStart w:id="13" w:name="_Toc18240"/>
      <w:bookmarkStart w:id="14" w:name="_Toc16339"/>
      <w:r>
        <w:rPr>
          <w:rFonts w:hint="eastAsia"/>
          <w:color w:val="auto"/>
          <w:lang w:eastAsia="zh-CN"/>
        </w:rPr>
        <w:t>前    言</w:t>
      </w:r>
      <w:bookmarkEnd w:id="1"/>
      <w:bookmarkEnd w:id="2"/>
      <w:bookmarkEnd w:id="3"/>
      <w:bookmarkEnd w:id="4"/>
      <w:bookmarkEnd w:id="5"/>
      <w:bookmarkEnd w:id="8"/>
      <w:bookmarkEnd w:id="9"/>
      <w:bookmarkEnd w:id="10"/>
      <w:bookmarkEnd w:id="11"/>
      <w:bookmarkEnd w:id="12"/>
      <w:bookmarkEnd w:id="13"/>
      <w:bookmarkEnd w:id="14"/>
    </w:p>
    <w:p w14:paraId="66F6C0BD">
      <w:pPr>
        <w:pStyle w:val="258"/>
        <w:bidi w:val="0"/>
        <w:rPr>
          <w:rFonts w:hint="eastAsia"/>
          <w:color w:val="auto"/>
          <w:lang w:val="en-US" w:eastAsia="zh-CN"/>
        </w:rPr>
      </w:pPr>
      <w:r>
        <w:rPr>
          <w:rFonts w:hint="eastAsia"/>
          <w:color w:val="auto"/>
          <w:lang w:val="en-US" w:eastAsia="zh-CN"/>
        </w:rPr>
        <w:t>本文件按照GB/T 1.1—2020《标准化工作导则  第1部分：标准化文件的结构和起草规则》的规定起草。</w:t>
      </w:r>
    </w:p>
    <w:p w14:paraId="6E6C8485">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请注意本文件的某些内容可能涉及专利。本文件的发布机构不承担识别专利的责任。</w:t>
      </w:r>
    </w:p>
    <w:p w14:paraId="42CED72A">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本文件由</w:t>
      </w:r>
      <w:r>
        <w:rPr>
          <w:rFonts w:hint="eastAsia" w:ascii="宋体" w:hAnsi="宋体" w:eastAsia="宋体" w:cs="宋体"/>
          <w:color w:val="auto"/>
          <w:spacing w:val="8"/>
          <w:sz w:val="21"/>
          <w:szCs w:val="21"/>
          <w:lang w:val="en-US" w:eastAsia="zh-CN"/>
        </w:rPr>
        <w:t>重庆</w:t>
      </w:r>
      <w:r>
        <w:rPr>
          <w:rFonts w:hint="eastAsia" w:ascii="宋体" w:hAnsi="宋体" w:eastAsia="宋体" w:cs="宋体"/>
          <w:color w:val="auto"/>
          <w:spacing w:val="8"/>
          <w:sz w:val="21"/>
          <w:szCs w:val="21"/>
        </w:rPr>
        <w:t>消防协会</w:t>
      </w:r>
      <w:r>
        <w:rPr>
          <w:rFonts w:hint="eastAsia" w:ascii="宋体" w:hAnsi="宋体" w:cs="宋体"/>
          <w:color w:val="auto"/>
          <w:spacing w:val="8"/>
          <w:sz w:val="21"/>
          <w:szCs w:val="21"/>
          <w:lang w:eastAsia="zh-CN"/>
        </w:rPr>
        <w:t>、</w:t>
      </w:r>
      <w:r>
        <w:rPr>
          <w:rFonts w:hint="eastAsia" w:ascii="宋体" w:hAnsi="宋体" w:cs="宋体"/>
          <w:color w:val="auto"/>
          <w:spacing w:val="8"/>
          <w:sz w:val="21"/>
          <w:szCs w:val="21"/>
          <w:lang w:val="en-US" w:eastAsia="zh-CN"/>
        </w:rPr>
        <w:t>四川省消防协会共同</w:t>
      </w:r>
      <w:r>
        <w:rPr>
          <w:rFonts w:hint="eastAsia" w:ascii="宋体" w:hAnsi="宋体" w:eastAsia="宋体" w:cs="宋体"/>
          <w:color w:val="auto"/>
          <w:spacing w:val="8"/>
          <w:sz w:val="21"/>
          <w:szCs w:val="21"/>
        </w:rPr>
        <w:t>提出并归口。</w:t>
      </w:r>
    </w:p>
    <w:p w14:paraId="3347729C">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本文件起草单位：</w:t>
      </w:r>
    </w:p>
    <w:p w14:paraId="2878CE8C">
      <w:pPr>
        <w:ind w:firstLine="452" w:firstLineChars="200"/>
        <w:jc w:val="both"/>
        <w:rPr>
          <w:rFonts w:hint="eastAsia" w:ascii="宋体" w:hAnsi="宋体" w:cs="宋体"/>
          <w:color w:val="auto"/>
          <w:spacing w:val="8"/>
          <w:sz w:val="21"/>
          <w:szCs w:val="21"/>
          <w:lang w:eastAsia="zh-CN"/>
        </w:rPr>
      </w:pPr>
      <w:r>
        <w:rPr>
          <w:rFonts w:hint="eastAsia" w:ascii="宋体" w:hAnsi="宋体" w:cs="宋体"/>
          <w:color w:val="auto"/>
          <w:spacing w:val="8"/>
          <w:sz w:val="21"/>
          <w:szCs w:val="21"/>
          <w:lang w:val="en-US" w:eastAsia="zh-CN"/>
        </w:rPr>
        <w:t>重庆编制组：</w:t>
      </w:r>
      <w:r>
        <w:rPr>
          <w:rFonts w:hint="eastAsia" w:ascii="宋体" w:hAnsi="宋体" w:eastAsia="宋体" w:cs="宋体"/>
          <w:color w:val="auto"/>
          <w:spacing w:val="8"/>
          <w:sz w:val="21"/>
          <w:szCs w:val="21"/>
        </w:rPr>
        <w:t>重庆渝电质量检测有限公司、重庆市元商科技发展有限公司、重庆市恒丰建筑消防设施维保有限公司、重庆力杰消防工程有限公司</w:t>
      </w:r>
      <w:r>
        <w:rPr>
          <w:rFonts w:hint="eastAsia" w:ascii="宋体" w:hAnsi="宋体" w:cs="宋体"/>
          <w:color w:val="auto"/>
          <w:spacing w:val="8"/>
          <w:sz w:val="21"/>
          <w:szCs w:val="21"/>
          <w:lang w:eastAsia="zh-CN"/>
        </w:rPr>
        <w:t>、</w:t>
      </w:r>
      <w:r>
        <w:rPr>
          <w:rFonts w:hint="eastAsia" w:ascii="宋体" w:hAnsi="宋体" w:eastAsia="宋体" w:cs="宋体"/>
          <w:color w:val="auto"/>
          <w:spacing w:val="8"/>
          <w:sz w:val="21"/>
          <w:szCs w:val="21"/>
        </w:rPr>
        <w:t>重庆市消防救援总队轨道交通支队、</w:t>
      </w:r>
      <w:r>
        <w:rPr>
          <w:rFonts w:hint="eastAsia" w:ascii="宋体" w:hAnsi="宋体" w:cs="宋体"/>
          <w:color w:val="auto"/>
          <w:spacing w:val="8"/>
          <w:sz w:val="21"/>
          <w:szCs w:val="21"/>
          <w:lang w:val="en-US" w:eastAsia="zh-CN"/>
        </w:rPr>
        <w:t>重庆市渝中区消防救援支队、重庆康明斯发动机有限公司、</w:t>
      </w:r>
      <w:r>
        <w:rPr>
          <w:rFonts w:hint="eastAsia" w:ascii="宋体" w:hAnsi="宋体" w:eastAsia="宋体" w:cs="宋体"/>
          <w:color w:val="auto"/>
          <w:spacing w:val="8"/>
          <w:sz w:val="21"/>
          <w:szCs w:val="21"/>
        </w:rPr>
        <w:t>重庆邮电大学</w:t>
      </w:r>
      <w:r>
        <w:rPr>
          <w:rFonts w:hint="eastAsia" w:ascii="宋体" w:hAnsi="宋体" w:cs="宋体"/>
          <w:color w:val="auto"/>
          <w:spacing w:val="8"/>
          <w:sz w:val="21"/>
          <w:szCs w:val="21"/>
          <w:lang w:eastAsia="zh-CN"/>
        </w:rPr>
        <w:t>。</w:t>
      </w:r>
    </w:p>
    <w:p w14:paraId="6D8ABECE">
      <w:pPr>
        <w:ind w:firstLine="452" w:firstLineChars="200"/>
        <w:jc w:val="both"/>
        <w:rPr>
          <w:rFonts w:hint="eastAsia" w:ascii="宋体" w:hAnsi="宋体" w:eastAsia="宋体" w:cs="宋体"/>
          <w:color w:val="auto"/>
          <w:spacing w:val="8"/>
          <w:sz w:val="21"/>
          <w:szCs w:val="21"/>
        </w:rPr>
      </w:pPr>
      <w:r>
        <w:rPr>
          <w:rFonts w:hint="eastAsia" w:ascii="宋体" w:hAnsi="宋体" w:cs="宋体"/>
          <w:color w:val="auto"/>
          <w:spacing w:val="8"/>
          <w:sz w:val="21"/>
          <w:szCs w:val="21"/>
          <w:lang w:val="en-US" w:eastAsia="zh-CN"/>
        </w:rPr>
        <w:t>四川编制组：</w:t>
      </w:r>
      <w:r>
        <w:rPr>
          <w:rFonts w:hint="eastAsia" w:ascii="宋体" w:hAnsi="宋体" w:eastAsia="宋体" w:cs="宋体"/>
          <w:color w:val="auto"/>
          <w:spacing w:val="8"/>
          <w:sz w:val="21"/>
          <w:szCs w:val="21"/>
        </w:rPr>
        <w:t>四川武盾实业总公司、四川法斯特消防安全性能评估有限公司、四川华胜消防工程有限公司、炳森宏业集团有限公司、川消消防工程有限公司、四川建西消防工程有限公司。</w:t>
      </w:r>
    </w:p>
    <w:p w14:paraId="45480402">
      <w:pPr>
        <w:pStyle w:val="258"/>
        <w:bidi w:val="0"/>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本文件主要起草人：</w:t>
      </w:r>
    </w:p>
    <w:p w14:paraId="262C518E">
      <w:pPr>
        <w:pStyle w:val="258"/>
        <w:bidi w:val="0"/>
        <w:rPr>
          <w:rFonts w:hint="eastAsia" w:hAnsi="宋体" w:cs="宋体"/>
          <w:color w:val="auto"/>
          <w:spacing w:val="8"/>
          <w:sz w:val="21"/>
          <w:szCs w:val="21"/>
          <w:lang w:val="en-US" w:eastAsia="zh-CN"/>
        </w:rPr>
      </w:pPr>
      <w:r>
        <w:rPr>
          <w:rFonts w:hint="eastAsia" w:hAnsi="宋体" w:cs="宋体"/>
          <w:color w:val="auto"/>
          <w:spacing w:val="8"/>
          <w:sz w:val="21"/>
          <w:szCs w:val="21"/>
          <w:lang w:val="en-US" w:eastAsia="zh-CN"/>
        </w:rPr>
        <w:t>重庆编制组：程昊、朱勇、</w:t>
      </w:r>
      <w:r>
        <w:rPr>
          <w:rFonts w:hint="eastAsia" w:ascii="宋体" w:hAnsi="宋体" w:eastAsia="宋体" w:cs="宋体"/>
          <w:color w:val="auto"/>
          <w:spacing w:val="8"/>
          <w:sz w:val="21"/>
          <w:szCs w:val="21"/>
          <w:lang w:val="en-US" w:eastAsia="zh-CN"/>
        </w:rPr>
        <w:t>刘渠江、</w:t>
      </w:r>
      <w:r>
        <w:rPr>
          <w:rFonts w:hint="eastAsia" w:hAnsi="宋体" w:cs="宋体"/>
          <w:color w:val="auto"/>
          <w:spacing w:val="8"/>
          <w:sz w:val="21"/>
          <w:szCs w:val="21"/>
          <w:lang w:val="en-US" w:eastAsia="zh-CN"/>
        </w:rPr>
        <w:t>魏钊、刘钢、李林茂、谭永刚、</w:t>
      </w:r>
      <w:r>
        <w:rPr>
          <w:rFonts w:hint="eastAsia" w:ascii="宋体" w:hAnsi="宋体" w:eastAsia="宋体" w:cs="宋体"/>
          <w:color w:val="auto"/>
          <w:spacing w:val="8"/>
          <w:sz w:val="21"/>
          <w:szCs w:val="21"/>
          <w:lang w:val="en-US" w:eastAsia="zh-CN"/>
        </w:rPr>
        <w:t>黄建平、</w:t>
      </w:r>
      <w:r>
        <w:rPr>
          <w:rFonts w:hint="eastAsia" w:hAnsi="宋体" w:cs="宋体"/>
          <w:color w:val="auto"/>
          <w:spacing w:val="8"/>
          <w:sz w:val="21"/>
          <w:szCs w:val="21"/>
          <w:lang w:val="en-US" w:eastAsia="zh-CN"/>
        </w:rPr>
        <w:t>刘鹏均、刘丽平、温朝国、郭镔漾、</w:t>
      </w:r>
      <w:r>
        <w:rPr>
          <w:rFonts w:hint="eastAsia" w:ascii="宋体" w:hAnsi="宋体" w:eastAsia="宋体" w:cs="宋体"/>
          <w:color w:val="auto"/>
          <w:spacing w:val="8"/>
          <w:sz w:val="21"/>
          <w:szCs w:val="21"/>
          <w:lang w:val="en-US" w:eastAsia="zh-CN"/>
        </w:rPr>
        <w:t>涂沁颖、</w:t>
      </w:r>
      <w:r>
        <w:rPr>
          <w:rFonts w:hint="eastAsia" w:hAnsi="宋体" w:cs="宋体"/>
          <w:color w:val="auto"/>
          <w:spacing w:val="8"/>
          <w:sz w:val="21"/>
          <w:szCs w:val="21"/>
          <w:highlight w:val="none"/>
          <w:lang w:val="en-US" w:eastAsia="zh-CN"/>
        </w:rPr>
        <w:t>韩庆</w:t>
      </w:r>
      <w:r>
        <w:rPr>
          <w:rFonts w:hint="eastAsia" w:hAnsi="宋体" w:cs="宋体"/>
          <w:color w:val="auto"/>
          <w:spacing w:val="8"/>
          <w:sz w:val="21"/>
          <w:szCs w:val="21"/>
          <w:lang w:val="en-US" w:eastAsia="zh-CN"/>
        </w:rPr>
        <w:t>、邱东荣、</w:t>
      </w:r>
      <w:r>
        <w:rPr>
          <w:rFonts w:hint="eastAsia" w:ascii="宋体" w:hAnsi="宋体" w:eastAsia="宋体" w:cs="宋体"/>
          <w:color w:val="auto"/>
          <w:spacing w:val="8"/>
          <w:sz w:val="21"/>
          <w:szCs w:val="21"/>
          <w:lang w:val="en-US" w:eastAsia="zh-CN"/>
        </w:rPr>
        <w:t>余丽、</w:t>
      </w:r>
      <w:r>
        <w:rPr>
          <w:rFonts w:hint="eastAsia" w:hAnsi="宋体" w:cs="宋体"/>
          <w:color w:val="auto"/>
          <w:spacing w:val="8"/>
          <w:sz w:val="21"/>
          <w:szCs w:val="21"/>
          <w:lang w:val="en-US" w:eastAsia="zh-CN"/>
        </w:rPr>
        <w:t>李碧琼、傅舟、文靓思、贺磊、</w:t>
      </w:r>
      <w:r>
        <w:rPr>
          <w:rFonts w:hint="eastAsia" w:ascii="宋体" w:hAnsi="宋体" w:eastAsia="宋体" w:cs="宋体"/>
          <w:color w:val="auto"/>
          <w:spacing w:val="8"/>
          <w:sz w:val="21"/>
          <w:szCs w:val="21"/>
          <w:lang w:val="en-US" w:eastAsia="zh-CN"/>
        </w:rPr>
        <w:t>曹凌、</w:t>
      </w:r>
      <w:r>
        <w:rPr>
          <w:rFonts w:hint="eastAsia" w:hAnsi="宋体" w:cs="宋体"/>
          <w:color w:val="auto"/>
          <w:spacing w:val="8"/>
          <w:sz w:val="21"/>
          <w:szCs w:val="21"/>
          <w:lang w:val="en-US" w:eastAsia="zh-CN"/>
        </w:rPr>
        <w:t>陈宏</w:t>
      </w:r>
      <w:r>
        <w:rPr>
          <w:rFonts w:hint="eastAsia" w:ascii="宋体" w:hAnsi="宋体" w:eastAsia="宋体" w:cs="宋体"/>
          <w:color w:val="auto"/>
          <w:spacing w:val="8"/>
          <w:sz w:val="21"/>
          <w:szCs w:val="21"/>
          <w:lang w:val="en-US" w:eastAsia="zh-CN"/>
        </w:rPr>
        <w:t>、王毅</w:t>
      </w:r>
      <w:r>
        <w:rPr>
          <w:rFonts w:hint="eastAsia" w:hAnsi="宋体" w:cs="宋体"/>
          <w:color w:val="auto"/>
          <w:spacing w:val="8"/>
          <w:sz w:val="21"/>
          <w:szCs w:val="21"/>
          <w:lang w:val="en-US" w:eastAsia="zh-CN"/>
        </w:rPr>
        <w:t>。</w:t>
      </w:r>
    </w:p>
    <w:p w14:paraId="2F8C25A7">
      <w:pPr>
        <w:pStyle w:val="258"/>
        <w:bidi w:val="0"/>
        <w:rPr>
          <w:rFonts w:hint="eastAsia"/>
          <w:color w:val="auto"/>
          <w:lang w:eastAsia="zh-CN"/>
        </w:rPr>
      </w:pPr>
      <w:r>
        <w:rPr>
          <w:rFonts w:hint="eastAsia" w:hAnsi="宋体" w:cs="宋体"/>
          <w:color w:val="auto"/>
          <w:spacing w:val="8"/>
          <w:sz w:val="21"/>
          <w:szCs w:val="21"/>
          <w:lang w:val="en-US" w:eastAsia="zh-CN"/>
        </w:rPr>
        <w:t>四川编制组：彭林、董冠婴、曾淼、陈泽彦、尧熠、杨远福。</w:t>
      </w:r>
    </w:p>
    <w:p w14:paraId="16033F5F">
      <w:pPr>
        <w:pStyle w:val="258"/>
        <w:bidi w:val="0"/>
        <w:rPr>
          <w:rFonts w:hint="eastAsia"/>
          <w:color w:val="auto"/>
          <w:lang w:eastAsia="zh-CN"/>
        </w:rPr>
        <w:sectPr>
          <w:pgSz w:w="11907" w:h="16839"/>
          <w:pgMar w:top="1418" w:right="1134" w:bottom="1134" w:left="1418" w:header="1418" w:footer="1134" w:gutter="0"/>
          <w:lnNumType w:countBy="0" w:restart="continuous"/>
          <w:pgNumType w:fmt="upperRoman"/>
          <w:cols w:space="425" w:num="1"/>
          <w:rtlGutter w:val="0"/>
          <w:docGrid w:type="lines" w:linePitch="312" w:charSpace="0"/>
        </w:sectPr>
      </w:pPr>
    </w:p>
    <w:p w14:paraId="62032229">
      <w:pPr>
        <w:pStyle w:val="315"/>
        <w:bidi w:val="0"/>
        <w:rPr>
          <w:rFonts w:hint="eastAsia"/>
          <w:color w:val="auto"/>
          <w:lang w:eastAsia="zh-CN"/>
        </w:rPr>
      </w:pPr>
      <w:bookmarkStart w:id="15" w:name="标准引言"/>
      <w:bookmarkEnd w:id="15"/>
      <w:bookmarkStart w:id="16" w:name="标准内容"/>
      <w:bookmarkEnd w:id="16"/>
      <w:r>
        <w:rPr>
          <w:rFonts w:hint="eastAsia"/>
          <w:color w:val="auto"/>
          <w:lang w:eastAsia="zh-CN"/>
        </w:rPr>
        <w:t>建筑电气防火检测技术规程</w:t>
      </w:r>
      <w:bookmarkStart w:id="705" w:name="_GoBack"/>
      <w:bookmarkEnd w:id="705"/>
    </w:p>
    <w:p w14:paraId="77DF55F3">
      <w:pPr>
        <w:pStyle w:val="259"/>
        <w:rPr>
          <w:color w:val="auto"/>
        </w:rPr>
      </w:pPr>
      <w:bookmarkStart w:id="17" w:name="_Toc17201"/>
      <w:bookmarkStart w:id="18" w:name="_Toc12688"/>
      <w:bookmarkStart w:id="19" w:name="_Toc31876"/>
      <w:bookmarkStart w:id="20" w:name="_Toc28038"/>
      <w:bookmarkStart w:id="21" w:name="_Toc23895"/>
      <w:bookmarkStart w:id="22" w:name="_Toc7048"/>
      <w:bookmarkStart w:id="23" w:name="_Toc6013"/>
      <w:bookmarkStart w:id="24" w:name="_Toc4873"/>
      <w:bookmarkStart w:id="25" w:name="_Toc14443"/>
      <w:bookmarkStart w:id="26" w:name="_Toc14818"/>
      <w:bookmarkStart w:id="27" w:name="_Toc23829"/>
      <w:bookmarkStart w:id="28" w:name="_Toc26789"/>
      <w:r>
        <w:rPr>
          <w:rFonts w:hint="eastAsia"/>
          <w:color w:val="auto"/>
        </w:rPr>
        <w:t>范围</w:t>
      </w:r>
      <w:bookmarkEnd w:id="17"/>
      <w:bookmarkEnd w:id="18"/>
      <w:bookmarkEnd w:id="19"/>
      <w:bookmarkEnd w:id="20"/>
      <w:bookmarkEnd w:id="21"/>
      <w:bookmarkEnd w:id="22"/>
      <w:bookmarkEnd w:id="23"/>
      <w:bookmarkEnd w:id="24"/>
      <w:bookmarkEnd w:id="25"/>
      <w:bookmarkEnd w:id="26"/>
      <w:bookmarkEnd w:id="27"/>
      <w:bookmarkEnd w:id="28"/>
    </w:p>
    <w:p w14:paraId="586FDE9B">
      <w:pPr>
        <w:pStyle w:val="258"/>
        <w:bidi w:val="0"/>
        <w:rPr>
          <w:color w:val="auto"/>
        </w:rPr>
      </w:pPr>
      <w:r>
        <w:rPr>
          <w:rFonts w:hint="eastAsia"/>
          <w:color w:val="auto"/>
          <w:lang w:val="en-US" w:eastAsia="zh-CN"/>
        </w:rPr>
        <w:t>本文件规定了建筑电气防火检测的一般规定、检测流程、技术要求、检测方法、检测记录与报告的要求。</w:t>
      </w:r>
    </w:p>
    <w:p w14:paraId="133FD824">
      <w:pPr>
        <w:pStyle w:val="258"/>
        <w:bidi w:val="0"/>
        <w:rPr>
          <w:color w:val="auto"/>
        </w:rPr>
      </w:pPr>
      <w:r>
        <w:rPr>
          <w:rFonts w:hint="eastAsia"/>
          <w:color w:val="auto"/>
          <w:lang w:val="en-US" w:eastAsia="zh-CN"/>
        </w:rPr>
        <w:t>本文件适用于交流电压20kV及以下的建筑电气防火检测。</w:t>
      </w:r>
    </w:p>
    <w:p w14:paraId="0108B2C5">
      <w:pPr>
        <w:pStyle w:val="258"/>
        <w:ind w:firstLine="420"/>
        <w:rPr>
          <w:color w:val="auto"/>
        </w:rPr>
      </w:pPr>
      <w:r>
        <w:rPr>
          <w:rFonts w:hint="eastAsia"/>
          <w:color w:val="auto"/>
          <w:lang w:val="en-US" w:eastAsia="zh-CN"/>
        </w:rPr>
        <w:t>本文件不适用于爆炸危险场所，井下、航空、水上设施的电气防火检测可参照执行。</w:t>
      </w:r>
    </w:p>
    <w:p w14:paraId="1FDB65F0">
      <w:pPr>
        <w:pStyle w:val="259"/>
        <w:rPr>
          <w:color w:val="auto"/>
        </w:rPr>
      </w:pPr>
      <w:bookmarkStart w:id="29" w:name="_Toc26986772"/>
      <w:bookmarkStart w:id="30" w:name="_Toc13654"/>
      <w:bookmarkStart w:id="31" w:name="_Toc25229"/>
      <w:bookmarkStart w:id="32" w:name="_Toc23780"/>
      <w:bookmarkStart w:id="33" w:name="_Toc30613"/>
      <w:bookmarkStart w:id="34" w:name="_Toc14113"/>
      <w:bookmarkStart w:id="35" w:name="_Toc12570"/>
      <w:bookmarkStart w:id="36" w:name="_Toc26718931"/>
      <w:bookmarkStart w:id="37" w:name="_Toc25896"/>
      <w:bookmarkStart w:id="38" w:name="_Toc16583"/>
      <w:bookmarkStart w:id="39" w:name="_Toc26986531"/>
      <w:bookmarkStart w:id="40" w:name="_Toc28250"/>
      <w:bookmarkStart w:id="41" w:name="_Toc7845"/>
      <w:bookmarkStart w:id="42" w:name="_Toc2016"/>
      <w:bookmarkStart w:id="43" w:name="_Toc14111"/>
      <w:r>
        <w:rPr>
          <w:rFonts w:hint="eastAsia"/>
          <w:color w:val="auto"/>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E73DEB1">
      <w:pPr>
        <w:pStyle w:val="258"/>
        <w:ind w:firstLine="420"/>
        <w:rPr>
          <w:color w:val="auto"/>
        </w:rPr>
      </w:pPr>
      <w:sdt>
        <w:sdtPr>
          <w:rPr>
            <w:rFonts w:hint="eastAsia"/>
            <w:color w:val="auto"/>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Pr>
          <w:color w:val="auto"/>
        </w:rPr>
        <w:tab/>
      </w:r>
    </w:p>
    <w:p w14:paraId="68226C07">
      <w:pPr>
        <w:pStyle w:val="258"/>
        <w:bidi w:val="0"/>
        <w:rPr>
          <w:rFonts w:hint="default"/>
          <w:color w:val="auto"/>
          <w:lang w:val="en-US" w:eastAsia="zh-CN"/>
        </w:rPr>
      </w:pPr>
      <w:r>
        <w:rPr>
          <w:rFonts w:hint="eastAsia" w:ascii="宋体" w:hAnsi="宋体" w:eastAsia="宋体" w:cs="宋体"/>
          <w:color w:val="auto"/>
          <w:kern w:val="0"/>
          <w:sz w:val="21"/>
          <w:szCs w:val="21"/>
          <w:lang w:val="en-US" w:eastAsia="zh-CN" w:bidi="ar"/>
        </w:rPr>
        <w:t>GB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14050</w:t>
      </w:r>
      <w:r>
        <w:rPr>
          <w:rFonts w:hint="eastAsia" w:hAnsi="宋体" w:cs="宋体"/>
          <w:color w:val="auto"/>
          <w:kern w:val="0"/>
          <w:sz w:val="21"/>
          <w:szCs w:val="21"/>
          <w:lang w:val="en-US" w:eastAsia="zh-CN" w:bidi="ar"/>
        </w:rPr>
        <w:t xml:space="preserve">  系统接地的型式及安全技术要求</w:t>
      </w:r>
    </w:p>
    <w:p w14:paraId="05D2A69B">
      <w:pPr>
        <w:pStyle w:val="258"/>
        <w:bidi w:val="0"/>
        <w:rPr>
          <w:rFonts w:hint="eastAsia"/>
          <w:color w:val="auto"/>
          <w:lang w:val="en-US" w:eastAsia="zh-CN"/>
        </w:rPr>
      </w:pPr>
      <w:r>
        <w:rPr>
          <w:rFonts w:hint="eastAsia"/>
          <w:color w:val="auto"/>
          <w:lang w:val="en-US" w:eastAsia="zh-CN"/>
        </w:rPr>
        <w:t>GB 50171  电气装置安装工程  盘、柜及二次回路接线施工及验收规范</w:t>
      </w:r>
    </w:p>
    <w:p w14:paraId="62A98685">
      <w:pPr>
        <w:pStyle w:val="258"/>
        <w:bidi w:val="0"/>
        <w:rPr>
          <w:rFonts w:hint="eastAsia"/>
          <w:color w:val="auto"/>
          <w:lang w:val="en-US" w:eastAsia="zh-CN"/>
        </w:rPr>
      </w:pPr>
      <w:r>
        <w:rPr>
          <w:rFonts w:hint="eastAsia"/>
          <w:color w:val="auto"/>
          <w:lang w:val="en-US" w:eastAsia="zh-CN"/>
        </w:rPr>
        <w:t>GB 50303  建筑电气工程施工质量验收规范</w:t>
      </w:r>
    </w:p>
    <w:p w14:paraId="2DE11E72">
      <w:pPr>
        <w:pStyle w:val="258"/>
        <w:bidi w:val="0"/>
        <w:rPr>
          <w:rFonts w:hint="eastAsia"/>
          <w:color w:val="auto"/>
          <w:lang w:val="en-US" w:eastAsia="zh-CN"/>
        </w:rPr>
      </w:pPr>
      <w:r>
        <w:rPr>
          <w:rFonts w:hint="eastAsia"/>
          <w:color w:val="auto"/>
          <w:lang w:val="en-US" w:eastAsia="zh-CN"/>
        </w:rPr>
        <w:t>GB/T 4208  外壳防护等级(IP代码)</w:t>
      </w:r>
    </w:p>
    <w:p w14:paraId="67608873">
      <w:pPr>
        <w:pStyle w:val="258"/>
        <w:bidi w:val="0"/>
        <w:rPr>
          <w:rFonts w:hint="default"/>
          <w:color w:val="auto"/>
          <w:lang w:val="en-US" w:eastAsia="zh-CN"/>
        </w:rPr>
      </w:pPr>
      <w:r>
        <w:rPr>
          <w:rFonts w:hint="eastAsia"/>
          <w:color w:val="auto"/>
          <w:lang w:val="en-US" w:eastAsia="zh-CN"/>
        </w:rPr>
        <w:t>GB/T 50034  建筑照明设计标准</w:t>
      </w:r>
    </w:p>
    <w:p w14:paraId="1913F579">
      <w:pPr>
        <w:pStyle w:val="259"/>
        <w:rPr>
          <w:color w:val="auto"/>
        </w:rPr>
      </w:pPr>
      <w:bookmarkStart w:id="44" w:name="_Toc22662"/>
      <w:bookmarkStart w:id="45" w:name="_Toc12227"/>
      <w:bookmarkStart w:id="46" w:name="_Toc25296"/>
      <w:bookmarkStart w:id="47" w:name="_Toc2361"/>
      <w:bookmarkStart w:id="48" w:name="_Toc4293"/>
      <w:bookmarkStart w:id="49" w:name="_Toc27046"/>
      <w:bookmarkStart w:id="50" w:name="_Toc11952"/>
      <w:bookmarkStart w:id="51" w:name="_Toc26009"/>
      <w:bookmarkStart w:id="52" w:name="_Toc12555"/>
      <w:bookmarkStart w:id="53" w:name="_Toc4484"/>
      <w:bookmarkStart w:id="54" w:name="_Toc11134"/>
      <w:bookmarkStart w:id="55" w:name="_Toc2181"/>
      <w:r>
        <w:rPr>
          <w:rFonts w:hint="eastAsia"/>
          <w:color w:val="auto"/>
        </w:rPr>
        <w:t>术语和定义</w:t>
      </w:r>
      <w:bookmarkEnd w:id="44"/>
      <w:bookmarkEnd w:id="45"/>
      <w:bookmarkEnd w:id="46"/>
      <w:bookmarkEnd w:id="47"/>
      <w:bookmarkEnd w:id="48"/>
      <w:bookmarkEnd w:id="49"/>
      <w:bookmarkEnd w:id="50"/>
      <w:bookmarkEnd w:id="51"/>
      <w:bookmarkEnd w:id="52"/>
      <w:bookmarkEnd w:id="53"/>
      <w:bookmarkEnd w:id="54"/>
      <w:bookmarkEnd w:id="55"/>
    </w:p>
    <w:sdt>
      <w:sdtPr>
        <w:rPr>
          <w:color w:val="auto"/>
        </w:r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3E1E8C03">
          <w:pPr>
            <w:pStyle w:val="258"/>
            <w:ind w:firstLine="420"/>
            <w:rPr>
              <w:color w:val="auto"/>
            </w:rPr>
          </w:pPr>
          <w:bookmarkStart w:id="56" w:name="_Toc26986532"/>
          <w:bookmarkEnd w:id="56"/>
          <w:r>
            <w:rPr>
              <w:color w:val="auto"/>
            </w:rPr>
            <w:t>下列术语和定义适用于本文件。</w:t>
          </w:r>
        </w:p>
      </w:sdtContent>
    </w:sdt>
    <w:p w14:paraId="771FE850">
      <w:pPr>
        <w:pStyle w:val="323"/>
        <w:bidi w:val="0"/>
        <w:rPr>
          <w:rFonts w:hint="eastAsia"/>
          <w:color w:val="auto"/>
          <w:lang w:val="en-US" w:eastAsia="zh-CN"/>
        </w:rPr>
      </w:pPr>
    </w:p>
    <w:p w14:paraId="2C0C838A">
      <w:pPr>
        <w:keepNext w:val="0"/>
        <w:keepLines w:val="0"/>
        <w:pageBreakBefore w:val="0"/>
        <w:widowControl/>
        <w:suppressLineNumbers w:val="0"/>
        <w:kinsoku w:val="0"/>
        <w:wordWrap/>
        <w:overflowPunct/>
        <w:topLinePunct w:val="0"/>
        <w:autoSpaceDE w:val="0"/>
        <w:autoSpaceDN w:val="0"/>
        <w:bidi w:val="0"/>
        <w:adjustRightInd/>
        <w:snapToGrid/>
        <w:ind w:firstLine="420" w:firstLineChars="200"/>
        <w:jc w:val="left"/>
        <w:textAlignment w:val="baseline"/>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电气火灾 electric fire</w:t>
      </w:r>
    </w:p>
    <w:p w14:paraId="22704A23">
      <w:pPr>
        <w:pStyle w:val="258"/>
        <w:bidi w:val="0"/>
        <w:rPr>
          <w:rFonts w:hint="eastAsia"/>
          <w:color w:val="auto"/>
          <w:lang w:val="en-US" w:eastAsia="zh-CN"/>
        </w:rPr>
      </w:pPr>
      <w:r>
        <w:rPr>
          <w:rFonts w:hint="eastAsia"/>
          <w:color w:val="auto"/>
          <w:lang w:val="en-US" w:eastAsia="zh-CN"/>
        </w:rPr>
        <w:t>因电气设备或电气线路发生电气故障或使用不当而引发的火灾。</w:t>
      </w:r>
    </w:p>
    <w:p w14:paraId="341F1022">
      <w:pPr>
        <w:pStyle w:val="323"/>
        <w:bidi w:val="0"/>
        <w:rPr>
          <w:rFonts w:hint="eastAsia"/>
          <w:color w:val="auto"/>
          <w:lang w:val="en-US" w:eastAsia="zh-CN"/>
        </w:rPr>
      </w:pPr>
    </w:p>
    <w:p w14:paraId="23D6A582">
      <w:pPr>
        <w:keepNext w:val="0"/>
        <w:keepLines w:val="0"/>
        <w:pageBreakBefore w:val="0"/>
        <w:widowControl/>
        <w:suppressLineNumbers w:val="0"/>
        <w:kinsoku w:val="0"/>
        <w:wordWrap/>
        <w:overflowPunct/>
        <w:topLinePunct w:val="0"/>
        <w:autoSpaceDE w:val="0"/>
        <w:autoSpaceDN w:val="0"/>
        <w:bidi w:val="0"/>
        <w:adjustRightInd/>
        <w:snapToGrid/>
        <w:ind w:firstLine="420" w:firstLineChars="200"/>
        <w:jc w:val="left"/>
        <w:textAlignment w:val="baseline"/>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火灾隐患 fire potential</w:t>
      </w:r>
    </w:p>
    <w:p w14:paraId="0C315A86">
      <w:pPr>
        <w:pStyle w:val="258"/>
        <w:bidi w:val="0"/>
        <w:rPr>
          <w:rFonts w:hint="eastAsia"/>
          <w:color w:val="auto"/>
          <w:lang w:val="en-US" w:eastAsia="zh-CN"/>
        </w:rPr>
      </w:pPr>
      <w:r>
        <w:rPr>
          <w:rFonts w:hint="eastAsia"/>
          <w:color w:val="auto"/>
          <w:lang w:val="en-US" w:eastAsia="zh-CN"/>
        </w:rPr>
        <w:t>违反消防法律法规、不符合消防技术标准，可能导致火灾发生或火灾危害增大的各类潜在不安全因素。</w:t>
      </w:r>
    </w:p>
    <w:p w14:paraId="35ED6433">
      <w:pPr>
        <w:pStyle w:val="323"/>
        <w:bidi w:val="0"/>
        <w:rPr>
          <w:rFonts w:hint="eastAsia"/>
          <w:color w:val="auto"/>
          <w:lang w:val="en-US" w:eastAsia="zh-CN"/>
        </w:rPr>
      </w:pPr>
    </w:p>
    <w:p w14:paraId="2CF14F19">
      <w:pPr>
        <w:keepNext w:val="0"/>
        <w:keepLines w:val="0"/>
        <w:pageBreakBefore w:val="0"/>
        <w:widowControl/>
        <w:suppressLineNumbers w:val="0"/>
        <w:kinsoku w:val="0"/>
        <w:wordWrap/>
        <w:overflowPunct/>
        <w:topLinePunct w:val="0"/>
        <w:autoSpaceDE w:val="0"/>
        <w:autoSpaceDN w:val="0"/>
        <w:bidi w:val="0"/>
        <w:adjustRightInd/>
        <w:snapToGrid/>
        <w:ind w:firstLine="420" w:firstLineChars="200"/>
        <w:jc w:val="left"/>
        <w:textAlignment w:val="baseline"/>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建筑电气工程 building electrical engineering</w:t>
      </w:r>
    </w:p>
    <w:p w14:paraId="06E66B52">
      <w:pPr>
        <w:pStyle w:val="258"/>
        <w:bidi w:val="0"/>
        <w:rPr>
          <w:rFonts w:hint="eastAsia"/>
          <w:color w:val="auto"/>
          <w:lang w:val="en-US" w:eastAsia="zh-CN"/>
        </w:rPr>
      </w:pPr>
      <w:r>
        <w:rPr>
          <w:rFonts w:hint="eastAsia"/>
          <w:color w:val="auto"/>
          <w:lang w:val="en-US" w:eastAsia="zh-CN"/>
        </w:rPr>
        <w:t>为实现一个或几个具体目的且特性相配合的，由电气装置、布线系统和用电设备电气部分构成的组合。</w:t>
      </w:r>
    </w:p>
    <w:p w14:paraId="63EA48FA">
      <w:pPr>
        <w:pStyle w:val="258"/>
        <w:bidi w:val="0"/>
        <w:rPr>
          <w:rFonts w:hint="eastAsia"/>
          <w:color w:val="auto"/>
          <w:lang w:val="en-US" w:eastAsia="zh-CN"/>
        </w:rPr>
      </w:pPr>
    </w:p>
    <w:p w14:paraId="7E328403">
      <w:pPr>
        <w:pStyle w:val="323"/>
        <w:bidi w:val="0"/>
        <w:rPr>
          <w:rStyle w:val="528"/>
          <w:rFonts w:hint="default"/>
          <w:color w:val="auto"/>
          <w:kern w:val="2"/>
          <w:szCs w:val="24"/>
          <w:lang w:val="en-US" w:eastAsia="zh-CN"/>
        </w:rPr>
      </w:pPr>
    </w:p>
    <w:p w14:paraId="13C27E2C">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auto"/>
        <w:rPr>
          <w:color w:val="auto"/>
        </w:rPr>
      </w:pPr>
      <w:r>
        <w:rPr>
          <w:rFonts w:ascii="黑体" w:hAnsi="宋体" w:eastAsia="黑体" w:cs="黑体"/>
          <w:color w:val="auto"/>
          <w:kern w:val="0"/>
          <w:sz w:val="21"/>
          <w:szCs w:val="21"/>
          <w:lang w:val="en-US" w:eastAsia="zh-CN" w:bidi="ar"/>
        </w:rPr>
        <w:t>电气火灾危险性 electrical fire risk</w:t>
      </w:r>
    </w:p>
    <w:p w14:paraId="5A9AE450">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cs="Times New Roman"/>
          <w:color w:val="auto"/>
          <w:kern w:val="0"/>
          <w:sz w:val="21"/>
          <w:szCs w:val="21"/>
          <w:lang w:val="en-US" w:eastAsia="zh-CN" w:bidi="ar-SA"/>
        </w:rPr>
        <w:t>引发</w:t>
      </w:r>
      <w:r>
        <w:rPr>
          <w:rFonts w:hint="eastAsia" w:ascii="宋体" w:hAnsi="Times New Roman" w:eastAsia="宋体" w:cs="Times New Roman"/>
          <w:color w:val="auto"/>
          <w:kern w:val="0"/>
          <w:sz w:val="21"/>
          <w:szCs w:val="21"/>
          <w:lang w:val="en-US" w:eastAsia="zh-CN" w:bidi="ar-SA"/>
        </w:rPr>
        <w:t>电气火灾的可能性。</w:t>
      </w:r>
    </w:p>
    <w:p w14:paraId="45C3090E">
      <w:pPr>
        <w:pStyle w:val="259"/>
        <w:bidi w:val="0"/>
        <w:rPr>
          <w:color w:val="auto"/>
        </w:rPr>
      </w:pPr>
      <w:bookmarkStart w:id="57" w:name="_Toc32100"/>
      <w:bookmarkStart w:id="58" w:name="_Toc8852"/>
      <w:bookmarkStart w:id="59" w:name="_Toc22458"/>
      <w:bookmarkStart w:id="60" w:name="_Toc19785"/>
      <w:bookmarkStart w:id="61" w:name="_Toc19125"/>
      <w:bookmarkStart w:id="62" w:name="_Toc7159"/>
      <w:bookmarkStart w:id="63" w:name="_Toc5968"/>
      <w:bookmarkStart w:id="64" w:name="_Toc8261"/>
      <w:bookmarkStart w:id="65" w:name="_Toc18880"/>
      <w:bookmarkStart w:id="66" w:name="_Toc11242"/>
      <w:bookmarkStart w:id="67" w:name="_Toc24584"/>
      <w:bookmarkStart w:id="68" w:name="_Toc14535"/>
      <w:bookmarkStart w:id="69" w:name="_Toc23713"/>
      <w:bookmarkStart w:id="70" w:name="_Toc8559"/>
      <w:bookmarkStart w:id="71" w:name="_Toc12815"/>
      <w:bookmarkStart w:id="72" w:name="_Toc7238"/>
      <w:bookmarkStart w:id="73" w:name="_Toc29423"/>
      <w:bookmarkStart w:id="74" w:name="_Toc2848"/>
      <w:bookmarkStart w:id="75" w:name="_Toc24353"/>
      <w:bookmarkStart w:id="76" w:name="_Toc2756"/>
      <w:bookmarkStart w:id="77" w:name="_Toc4153"/>
      <w:bookmarkStart w:id="78" w:name="_Toc29774"/>
      <w:bookmarkStart w:id="79" w:name="_Toc6612"/>
      <w:r>
        <w:rPr>
          <w:rFonts w:hint="eastAsia" w:hAnsi="Times New Roman" w:cs="Times New Roman"/>
          <w:color w:val="auto"/>
          <w:lang w:val="en-US" w:eastAsia="zh-CN"/>
        </w:rPr>
        <w:t>一般规定</w:t>
      </w:r>
      <w:bookmarkEnd w:id="57"/>
      <w:bookmarkEnd w:id="58"/>
      <w:bookmarkEnd w:id="59"/>
      <w:bookmarkEnd w:id="60"/>
      <w:bookmarkEnd w:id="61"/>
      <w:bookmarkEnd w:id="62"/>
      <w:bookmarkEnd w:id="63"/>
      <w:bookmarkEnd w:id="64"/>
      <w:bookmarkEnd w:id="65"/>
      <w:bookmarkEnd w:id="66"/>
      <w:bookmarkEnd w:id="67"/>
      <w:bookmarkEnd w:id="68"/>
    </w:p>
    <w:p w14:paraId="1DC45970">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rPr>
      </w:pPr>
      <w:bookmarkStart w:id="80" w:name="_Toc28854"/>
      <w:r>
        <w:rPr>
          <w:rFonts w:hint="eastAsia" w:ascii="黑体" w:hAnsi="Times New Roman" w:eastAsia="黑体" w:cs="Times New Roman"/>
          <w:color w:val="auto"/>
          <w:sz w:val="21"/>
          <w:szCs w:val="21"/>
          <w:lang w:val="en-US" w:eastAsia="zh-CN" w:bidi="ar-SA"/>
        </w:rPr>
        <w:t>4.1</w:t>
      </w:r>
      <w:bookmarkEnd w:id="80"/>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w:t>
      </w:r>
      <w:r>
        <w:rPr>
          <w:rFonts w:hint="eastAsia" w:ascii="宋体" w:cs="Times New Roman"/>
          <w:color w:val="auto"/>
          <w:sz w:val="21"/>
          <w:lang w:val="en-US" w:eastAsia="zh-CN" w:bidi="ar-SA"/>
        </w:rPr>
        <w:t>用电</w:t>
      </w:r>
      <w:r>
        <w:rPr>
          <w:rFonts w:hint="eastAsia" w:ascii="宋体" w:hAnsi="Times New Roman" w:eastAsia="宋体" w:cs="Times New Roman"/>
          <w:color w:val="auto"/>
          <w:sz w:val="21"/>
          <w:lang w:val="en-US" w:eastAsia="zh-CN" w:bidi="ar-SA"/>
        </w:rPr>
        <w:t>设备必须符合国家现行技术标准和设计选型的要求，应具有合格证和检验（测）证书。</w:t>
      </w:r>
    </w:p>
    <w:p w14:paraId="14111024">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Times New Roman" w:eastAsia="宋体" w:cs="Times New Roman"/>
          <w:color w:val="auto"/>
          <w:sz w:val="21"/>
          <w:lang w:val="en-US" w:eastAsia="zh-CN" w:bidi="ar-SA"/>
        </w:rPr>
      </w:pPr>
      <w:bookmarkStart w:id="81" w:name="_Toc28898"/>
      <w:r>
        <w:rPr>
          <w:rFonts w:hint="eastAsia" w:ascii="黑体" w:hAnsi="Times New Roman" w:eastAsia="黑体" w:cs="Times New Roman"/>
          <w:color w:val="auto"/>
          <w:sz w:val="21"/>
          <w:szCs w:val="21"/>
          <w:lang w:val="en-US" w:eastAsia="zh-CN" w:bidi="ar-SA"/>
        </w:rPr>
        <w:t>4.2</w:t>
      </w:r>
      <w:bookmarkEnd w:id="81"/>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实行生产许可、安全认证或3C认证的产品应具有生产许可证、产品安全认证或3C认证标志。</w:t>
      </w:r>
    </w:p>
    <w:p w14:paraId="6E5DB9FE">
      <w:pPr>
        <w:keepNext w:val="0"/>
        <w:keepLines w:val="0"/>
        <w:pageBreakBefore w:val="0"/>
        <w:widowControl w:val="0"/>
        <w:kinsoku/>
        <w:wordWrap/>
        <w:overflowPunct/>
        <w:topLinePunct w:val="0"/>
        <w:autoSpaceDE/>
        <w:autoSpaceDN/>
        <w:bidi w:val="0"/>
        <w:adjustRightInd/>
        <w:snapToGrid/>
        <w:textAlignment w:val="auto"/>
        <w:rPr>
          <w:rFonts w:hint="eastAsia" w:ascii="宋体" w:hAnsi="Times New Roman" w:eastAsia="宋体" w:cs="Times New Roman"/>
          <w:color w:val="auto"/>
          <w:sz w:val="21"/>
          <w:lang w:val="en-US" w:eastAsia="zh-CN" w:bidi="ar-SA"/>
        </w:rPr>
      </w:pPr>
      <w:bookmarkStart w:id="82" w:name="_Toc19747"/>
      <w:r>
        <w:rPr>
          <w:rFonts w:hint="eastAsia" w:ascii="黑体" w:hAnsi="Times New Roman" w:eastAsia="黑体" w:cs="Times New Roman"/>
          <w:color w:val="auto"/>
          <w:sz w:val="21"/>
          <w:szCs w:val="21"/>
          <w:lang w:val="en-US" w:eastAsia="zh-CN" w:bidi="ar-SA"/>
        </w:rPr>
        <w:t xml:space="preserve">4.3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w:t>
      </w:r>
      <w:r>
        <w:rPr>
          <w:rFonts w:hint="eastAsia" w:ascii="宋体" w:cs="Times New Roman"/>
          <w:color w:val="auto"/>
          <w:sz w:val="21"/>
          <w:lang w:val="en-US" w:eastAsia="zh-CN" w:bidi="ar-SA"/>
        </w:rPr>
        <w:t>用电</w:t>
      </w:r>
      <w:r>
        <w:rPr>
          <w:rFonts w:hint="eastAsia" w:ascii="宋体" w:hAnsi="Times New Roman" w:eastAsia="宋体" w:cs="Times New Roman"/>
          <w:color w:val="auto"/>
          <w:sz w:val="21"/>
          <w:lang w:val="en-US" w:eastAsia="zh-CN" w:bidi="ar-SA"/>
        </w:rPr>
        <w:t>设备铭牌标志应齐全、清晰、易见。</w:t>
      </w:r>
      <w:bookmarkEnd w:id="82"/>
    </w:p>
    <w:p w14:paraId="5AEC4A55">
      <w:pPr>
        <w:keepNext w:val="0"/>
        <w:keepLines w:val="0"/>
        <w:pageBreakBefore w:val="0"/>
        <w:widowControl w:val="0"/>
        <w:kinsoku/>
        <w:wordWrap/>
        <w:overflowPunct/>
        <w:topLinePunct w:val="0"/>
        <w:autoSpaceDE/>
        <w:autoSpaceDN/>
        <w:bidi w:val="0"/>
        <w:adjustRightInd/>
        <w:snapToGrid/>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 xml:space="preserve">4.4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w:t>
      </w:r>
      <w:r>
        <w:rPr>
          <w:rFonts w:hint="eastAsia" w:ascii="宋体" w:cs="Times New Roman"/>
          <w:color w:val="auto"/>
          <w:sz w:val="21"/>
          <w:lang w:val="en-US" w:eastAsia="zh-CN" w:bidi="ar-SA"/>
        </w:rPr>
        <w:t>用电</w:t>
      </w:r>
      <w:r>
        <w:rPr>
          <w:rFonts w:hint="eastAsia" w:ascii="宋体" w:hAnsi="Times New Roman" w:eastAsia="宋体" w:cs="Times New Roman"/>
          <w:color w:val="auto"/>
          <w:sz w:val="21"/>
          <w:lang w:val="en-US" w:eastAsia="zh-CN" w:bidi="ar-SA"/>
        </w:rPr>
        <w:t>设备的安装环境及消防设施、器材的</w:t>
      </w:r>
      <w:r>
        <w:rPr>
          <w:rFonts w:hint="eastAsia" w:ascii="宋体" w:cs="Times New Roman"/>
          <w:color w:val="auto"/>
          <w:sz w:val="21"/>
          <w:lang w:val="en-US" w:eastAsia="zh-CN" w:bidi="ar-SA"/>
        </w:rPr>
        <w:t>配</w:t>
      </w:r>
      <w:r>
        <w:rPr>
          <w:rFonts w:hint="eastAsia" w:ascii="宋体" w:hAnsi="Times New Roman" w:eastAsia="宋体" w:cs="Times New Roman"/>
          <w:color w:val="auto"/>
          <w:sz w:val="21"/>
          <w:lang w:val="en-US" w:eastAsia="zh-CN" w:bidi="ar-SA"/>
        </w:rPr>
        <w:t>置</w:t>
      </w:r>
      <w:r>
        <w:rPr>
          <w:rFonts w:hint="eastAsia" w:ascii="宋体" w:cs="Times New Roman"/>
          <w:color w:val="auto"/>
          <w:sz w:val="21"/>
          <w:lang w:val="en-US" w:eastAsia="zh-CN" w:bidi="ar-SA"/>
        </w:rPr>
        <w:t>，</w:t>
      </w:r>
      <w:r>
        <w:rPr>
          <w:rFonts w:hint="eastAsia" w:ascii="宋体" w:hAnsi="Times New Roman" w:eastAsia="宋体" w:cs="Times New Roman"/>
          <w:color w:val="auto"/>
          <w:sz w:val="21"/>
          <w:lang w:val="en-US" w:eastAsia="zh-CN" w:bidi="ar-SA"/>
        </w:rPr>
        <w:t>应符合国家现行技术标准</w:t>
      </w:r>
      <w:r>
        <w:rPr>
          <w:rFonts w:hint="eastAsia" w:ascii="宋体" w:cs="Times New Roman"/>
          <w:color w:val="auto"/>
          <w:sz w:val="21"/>
          <w:lang w:val="en-US" w:eastAsia="zh-CN" w:bidi="ar-SA"/>
        </w:rPr>
        <w:t>的要求</w:t>
      </w:r>
      <w:r>
        <w:rPr>
          <w:rFonts w:hint="eastAsia" w:ascii="宋体" w:hAnsi="Times New Roman" w:eastAsia="宋体" w:cs="Times New Roman"/>
          <w:color w:val="auto"/>
          <w:sz w:val="21"/>
          <w:lang w:val="en-US" w:eastAsia="zh-CN" w:bidi="ar-SA"/>
        </w:rPr>
        <w:t>。</w:t>
      </w:r>
    </w:p>
    <w:p w14:paraId="25866EEB">
      <w:pPr>
        <w:keepNext w:val="0"/>
        <w:keepLines w:val="0"/>
        <w:pageBreakBefore w:val="0"/>
        <w:widowControl w:val="0"/>
        <w:kinsoku/>
        <w:wordWrap/>
        <w:overflowPunct/>
        <w:topLinePunct w:val="0"/>
        <w:autoSpaceDE/>
        <w:autoSpaceDN/>
        <w:bidi w:val="0"/>
        <w:adjustRightInd/>
        <w:snapToGrid/>
        <w:textAlignment w:val="auto"/>
        <w:rPr>
          <w:rFonts w:hint="default"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4.5</w:t>
      </w:r>
      <w:r>
        <w:rPr>
          <w:rFonts w:hint="eastAsia" w:ascii="黑体" w:hAnsi="黑体" w:eastAsia="黑体" w:cs="黑体"/>
          <w:color w:val="auto"/>
          <w:sz w:val="21"/>
          <w:lang w:val="en-US" w:eastAsia="zh-CN" w:bidi="ar-SA"/>
        </w:rPr>
        <w:t xml:space="preserve">  </w:t>
      </w:r>
      <w:r>
        <w:rPr>
          <w:rFonts w:hint="eastAsia" w:ascii="宋体" w:hAnsi="Times New Roman" w:eastAsia="宋体" w:cs="Times New Roman"/>
          <w:color w:val="auto"/>
          <w:kern w:val="2"/>
          <w:sz w:val="21"/>
          <w:lang w:val="en-US" w:eastAsia="zh-CN" w:bidi="ar-SA"/>
        </w:rPr>
        <w:t>建筑电气防火检测</w:t>
      </w:r>
      <w:r>
        <w:rPr>
          <w:rFonts w:hint="eastAsia" w:ascii="宋体" w:cs="Times New Roman"/>
          <w:color w:val="auto"/>
          <w:kern w:val="2"/>
          <w:sz w:val="21"/>
          <w:lang w:val="en-US" w:eastAsia="zh-CN" w:bidi="ar-SA"/>
        </w:rPr>
        <w:t>，</w:t>
      </w:r>
      <w:r>
        <w:rPr>
          <w:rFonts w:hint="eastAsia" w:ascii="宋体" w:hAnsi="Times New Roman" w:eastAsia="宋体" w:cs="Times New Roman"/>
          <w:color w:val="auto"/>
          <w:kern w:val="2"/>
          <w:sz w:val="21"/>
          <w:lang w:val="en-US" w:eastAsia="zh-CN" w:bidi="ar-SA"/>
        </w:rPr>
        <w:t>应在电气</w:t>
      </w:r>
      <w:r>
        <w:rPr>
          <w:rFonts w:hint="eastAsia" w:ascii="宋体" w:cs="Times New Roman"/>
          <w:color w:val="auto"/>
          <w:kern w:val="2"/>
          <w:sz w:val="21"/>
          <w:lang w:val="en-US" w:eastAsia="zh-CN" w:bidi="ar-SA"/>
        </w:rPr>
        <w:t>装置</w:t>
      </w:r>
      <w:r>
        <w:rPr>
          <w:rFonts w:hint="eastAsia" w:ascii="宋体" w:hAnsi="Times New Roman" w:eastAsia="宋体" w:cs="Times New Roman"/>
          <w:color w:val="auto"/>
          <w:kern w:val="2"/>
          <w:sz w:val="21"/>
          <w:lang w:val="en-US" w:eastAsia="zh-CN" w:bidi="ar-SA"/>
        </w:rPr>
        <w:t>和线路经过</w:t>
      </w:r>
      <w:r>
        <w:rPr>
          <w:rFonts w:hint="eastAsia" w:ascii="宋体" w:hAnsi="Times New Roman" w:eastAsia="宋体" w:cs="Times New Roman"/>
          <w:color w:val="auto"/>
          <w:spacing w:val="0"/>
          <w:kern w:val="2"/>
          <w:sz w:val="21"/>
          <w:lang w:val="en-US" w:eastAsia="zh-CN" w:bidi="ar-SA"/>
        </w:rPr>
        <w:t>1h</w:t>
      </w:r>
      <w:r>
        <w:rPr>
          <w:rFonts w:hint="eastAsia" w:ascii="宋体" w:hAnsi="Times New Roman" w:eastAsia="宋体" w:cs="Times New Roman"/>
          <w:color w:val="auto"/>
          <w:kern w:val="2"/>
          <w:sz w:val="21"/>
          <w:lang w:val="en-US" w:eastAsia="zh-CN" w:bidi="ar-SA"/>
        </w:rPr>
        <w:t>以上的有载运行，进入正常热稳定工作状态，其温度变化率小于1℃/h后进行。</w:t>
      </w:r>
    </w:p>
    <w:p w14:paraId="6B2B0C2F">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黑体" w:hAnsi="Times New Roman" w:eastAsia="宋体" w:cs="Times New Roman"/>
          <w:color w:val="auto"/>
          <w:sz w:val="21"/>
          <w:szCs w:val="21"/>
          <w:lang w:val="en-US" w:eastAsia="zh-CN" w:bidi="ar-SA"/>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 xml:space="preserve">6  </w:t>
      </w:r>
      <w:r>
        <w:rPr>
          <w:rFonts w:hint="eastAsia" w:ascii="宋体"/>
          <w:color w:val="auto"/>
        </w:rPr>
        <w:t>检测机构应设置本机构技术负责人和质量负责人，并按照检测对象设置项目负责人，机构人员基本要求见附录</w:t>
      </w:r>
      <w:r>
        <w:rPr>
          <w:rFonts w:hint="eastAsia" w:ascii="宋体"/>
          <w:color w:val="auto"/>
          <w:lang w:val="en-US" w:eastAsia="zh-CN"/>
        </w:rPr>
        <w:t>A。</w:t>
      </w:r>
    </w:p>
    <w:p w14:paraId="14039D97">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0"/>
          <w:sz w:val="21"/>
          <w:szCs w:val="21"/>
          <w:lang w:val="en-US" w:eastAsia="zh-CN" w:bidi="ar"/>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 xml:space="preserve">7  </w:t>
      </w:r>
      <w:r>
        <w:rPr>
          <w:rFonts w:hint="eastAsia" w:ascii="宋体" w:hAnsi="宋体" w:eastAsia="宋体" w:cs="宋体"/>
          <w:color w:val="auto"/>
          <w:kern w:val="0"/>
          <w:sz w:val="21"/>
          <w:szCs w:val="21"/>
          <w:lang w:val="en-US" w:eastAsia="zh-CN" w:bidi="ar"/>
        </w:rPr>
        <w:t>检测仪器的基本配置和主要技术性能参数见附录</w:t>
      </w:r>
      <w:r>
        <w:rPr>
          <w:rFonts w:hint="eastAsia" w:hAnsi="宋体" w:cs="宋体"/>
          <w:color w:val="auto"/>
          <w:kern w:val="0"/>
          <w:sz w:val="21"/>
          <w:szCs w:val="21"/>
          <w:lang w:val="en-US" w:eastAsia="zh-CN" w:bidi="ar"/>
        </w:rPr>
        <w:t>E</w:t>
      </w:r>
      <w:r>
        <w:rPr>
          <w:rFonts w:hint="eastAsia" w:ascii="宋体" w:hAnsi="宋体" w:eastAsia="宋体" w:cs="宋体"/>
          <w:color w:val="auto"/>
          <w:kern w:val="0"/>
          <w:sz w:val="21"/>
          <w:szCs w:val="21"/>
          <w:lang w:val="en-US" w:eastAsia="zh-CN" w:bidi="ar"/>
        </w:rPr>
        <w:t>。</w:t>
      </w:r>
    </w:p>
    <w:p w14:paraId="501800F9">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8</w:t>
      </w:r>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检测用的仪器等，应按国家现行有关规程校准或检定合格。</w:t>
      </w:r>
    </w:p>
    <w:p w14:paraId="29EE7134">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 xml:space="preserve">9  </w:t>
      </w:r>
      <w:r>
        <w:rPr>
          <w:rFonts w:hint="eastAsia" w:cs="Times New Roman"/>
          <w:color w:val="auto"/>
          <w:sz w:val="21"/>
          <w:szCs w:val="22"/>
          <w:lang w:val="en-US" w:eastAsia="zh-CN" w:bidi="ar-SA"/>
        </w:rPr>
        <w:t>除有特殊规定外，建议</w:t>
      </w:r>
      <w:r>
        <w:rPr>
          <w:rFonts w:hint="eastAsia" w:ascii="宋体" w:hAnsi="Times New Roman" w:eastAsia="宋体" w:cs="Times New Roman"/>
          <w:color w:val="auto"/>
          <w:sz w:val="21"/>
          <w:szCs w:val="22"/>
          <w:lang w:val="en-US" w:eastAsia="zh-CN" w:bidi="ar-SA"/>
        </w:rPr>
        <w:t>建筑电气</w:t>
      </w:r>
      <w:r>
        <w:rPr>
          <w:rFonts w:hint="eastAsia" w:cs="Times New Roman"/>
          <w:color w:val="auto"/>
          <w:sz w:val="21"/>
          <w:szCs w:val="22"/>
          <w:lang w:val="en-US" w:eastAsia="zh-CN" w:bidi="ar-SA"/>
        </w:rPr>
        <w:t>防火检测周期为1年。</w:t>
      </w:r>
    </w:p>
    <w:p w14:paraId="5C8186F3">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10</w:t>
      </w:r>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建筑电气</w:t>
      </w:r>
      <w:r>
        <w:rPr>
          <w:rFonts w:hint="eastAsia" w:cs="Times New Roman"/>
          <w:color w:val="auto"/>
          <w:sz w:val="21"/>
          <w:lang w:val="en-US" w:eastAsia="zh-CN" w:bidi="ar-SA"/>
        </w:rPr>
        <w:t>工程</w:t>
      </w:r>
      <w:r>
        <w:rPr>
          <w:rFonts w:hint="eastAsia" w:ascii="宋体" w:hAnsi="Times New Roman" w:eastAsia="宋体" w:cs="Times New Roman"/>
          <w:color w:val="auto"/>
          <w:sz w:val="21"/>
          <w:lang w:val="en-US" w:eastAsia="zh-CN" w:bidi="ar-SA"/>
        </w:rPr>
        <w:t>除应符合本标准外，还应符合</w:t>
      </w:r>
      <w:r>
        <w:rPr>
          <w:rFonts w:hint="eastAsia" w:ascii="宋体" w:cs="Times New Roman"/>
          <w:color w:val="auto"/>
          <w:sz w:val="21"/>
          <w:lang w:val="en-US" w:eastAsia="zh-CN" w:bidi="ar-SA"/>
        </w:rPr>
        <w:t>国家现行的有关强制性规范和</w:t>
      </w:r>
      <w:r>
        <w:rPr>
          <w:rFonts w:hint="eastAsia" w:ascii="宋体" w:hAnsi="Times New Roman" w:eastAsia="宋体" w:cs="Times New Roman"/>
          <w:color w:val="auto"/>
          <w:sz w:val="21"/>
          <w:lang w:val="en-US" w:eastAsia="zh-CN" w:bidi="ar-SA"/>
        </w:rPr>
        <w:t>标准的规定。</w:t>
      </w:r>
    </w:p>
    <w:p w14:paraId="33255DF1">
      <w:pPr>
        <w:pStyle w:val="259"/>
        <w:keepNext w:val="0"/>
        <w:keepLines w:val="0"/>
        <w:pageBreakBefore w:val="0"/>
        <w:widowControl/>
        <w:kinsoku/>
        <w:wordWrap/>
        <w:overflowPunct/>
        <w:topLinePunct w:val="0"/>
        <w:autoSpaceDE/>
        <w:autoSpaceDN/>
        <w:bidi w:val="0"/>
        <w:adjustRightInd/>
        <w:snapToGrid/>
        <w:textAlignment w:val="auto"/>
        <w:rPr>
          <w:rFonts w:hint="eastAsia"/>
          <w:color w:val="auto"/>
          <w:lang w:val="en-US" w:eastAsia="zh-CN"/>
        </w:rPr>
      </w:pPr>
      <w:bookmarkStart w:id="83" w:name="_Toc4572"/>
      <w:bookmarkStart w:id="84" w:name="_Toc19113"/>
      <w:bookmarkStart w:id="85" w:name="_Toc1210"/>
      <w:bookmarkStart w:id="86" w:name="_Toc19568"/>
      <w:bookmarkStart w:id="87" w:name="_Toc10968"/>
      <w:bookmarkStart w:id="88" w:name="_Toc14757"/>
      <w:bookmarkStart w:id="89" w:name="_Toc14025"/>
      <w:bookmarkStart w:id="90" w:name="_Toc3754"/>
      <w:bookmarkStart w:id="91" w:name="_Toc7943"/>
      <w:bookmarkStart w:id="92" w:name="_Toc22008"/>
      <w:bookmarkStart w:id="93" w:name="_Toc14353"/>
      <w:bookmarkStart w:id="94" w:name="_Toc18536"/>
      <w:r>
        <w:rPr>
          <w:rFonts w:hint="eastAsia" w:hAnsi="Times New Roman" w:cs="Times New Roman"/>
          <w:color w:val="auto"/>
          <w:lang w:val="en-US" w:eastAsia="zh-CN"/>
        </w:rPr>
        <w:t>检测</w:t>
      </w:r>
      <w:r>
        <w:rPr>
          <w:rFonts w:hint="eastAsia" w:cs="Times New Roman"/>
          <w:color w:val="auto"/>
          <w:lang w:val="en-US" w:eastAsia="zh-CN"/>
        </w:rPr>
        <w:t>流</w:t>
      </w:r>
      <w:r>
        <w:rPr>
          <w:rFonts w:hint="eastAsia" w:hAnsi="Times New Roman" w:cs="Times New Roman"/>
          <w:color w:val="auto"/>
          <w:lang w:val="en-US" w:eastAsia="zh-CN"/>
        </w:rPr>
        <w:t>程</w:t>
      </w:r>
      <w:bookmarkEnd w:id="83"/>
      <w:bookmarkEnd w:id="84"/>
      <w:bookmarkEnd w:id="85"/>
      <w:bookmarkEnd w:id="86"/>
      <w:bookmarkEnd w:id="87"/>
      <w:bookmarkEnd w:id="88"/>
      <w:bookmarkEnd w:id="89"/>
      <w:bookmarkEnd w:id="90"/>
      <w:bookmarkEnd w:id="91"/>
      <w:bookmarkEnd w:id="92"/>
      <w:bookmarkEnd w:id="93"/>
      <w:bookmarkEnd w:id="94"/>
    </w:p>
    <w:p w14:paraId="5791FFC1">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95" w:name="_Toc10346"/>
      <w:bookmarkStart w:id="96" w:name="_Toc11466"/>
      <w:bookmarkStart w:id="97" w:name="_Toc22562"/>
      <w:bookmarkStart w:id="98" w:name="_Toc8710"/>
      <w:bookmarkStart w:id="99" w:name="_Toc27619"/>
      <w:bookmarkStart w:id="100" w:name="_Toc13044"/>
      <w:bookmarkStart w:id="101" w:name="_Toc18922"/>
      <w:bookmarkStart w:id="102" w:name="_Toc6906"/>
      <w:bookmarkStart w:id="103" w:name="_Toc6928"/>
      <w:bookmarkStart w:id="104" w:name="_Toc10002"/>
      <w:bookmarkStart w:id="105" w:name="_Toc26032"/>
      <w:bookmarkStart w:id="106" w:name="_Toc1394"/>
      <w:bookmarkStart w:id="107" w:name="_Toc928"/>
      <w:bookmarkStart w:id="108" w:name="_Toc23962"/>
      <w:bookmarkStart w:id="109" w:name="_Toc15969"/>
      <w:bookmarkStart w:id="110" w:name="_Toc510"/>
      <w:bookmarkStart w:id="111" w:name="_Toc24103"/>
      <w:bookmarkStart w:id="112" w:name="_Toc9458"/>
      <w:bookmarkStart w:id="113" w:name="_Toc32463"/>
      <w:bookmarkStart w:id="114" w:name="_Toc20508"/>
      <w:bookmarkStart w:id="115" w:name="_Toc15795"/>
      <w:bookmarkStart w:id="116" w:name="_Toc2865"/>
      <w:bookmarkStart w:id="117" w:name="_Toc12842"/>
      <w:bookmarkStart w:id="118" w:name="_Toc21374"/>
      <w:bookmarkStart w:id="119" w:name="_Toc14942"/>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检测流程</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1996F27">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20" w:name="_Toc16723"/>
      <w:bookmarkStart w:id="121" w:name="_Toc12048"/>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接受委托</w:t>
      </w:r>
      <w:bookmarkEnd w:id="120"/>
      <w:bookmarkEnd w:id="121"/>
      <w:r>
        <w:rPr>
          <w:rFonts w:hint="eastAsia" w:ascii="黑体" w:hAnsi="黑体" w:eastAsia="黑体" w:cs="黑体"/>
          <w:snapToGrid w:val="0"/>
          <w:color w:val="auto"/>
          <w:spacing w:val="8"/>
          <w:kern w:val="0"/>
          <w:sz w:val="21"/>
          <w:szCs w:val="21"/>
          <w:highlight w:val="none"/>
          <w:lang w:val="en-US" w:eastAsia="zh-CN"/>
        </w:rPr>
        <w:t xml:space="preserve"> </w:t>
      </w:r>
    </w:p>
    <w:p w14:paraId="559BB889">
      <w:pPr>
        <w:keepNext w:val="0"/>
        <w:keepLines w:val="0"/>
        <w:pageBreakBefore w:val="0"/>
        <w:widowControl/>
        <w:tabs>
          <w:tab w:val="right" w:leader="dot" w:pos="9334"/>
        </w:tabs>
        <w:kinsoku w:val="0"/>
        <w:wordWrap/>
        <w:overflowPunct/>
        <w:topLinePunct w:val="0"/>
        <w:autoSpaceDE w:val="0"/>
        <w:autoSpaceDN w:val="0"/>
        <w:bidi w:val="0"/>
        <w:adjustRightInd/>
        <w:snapToGrid/>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5.1.1.1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 xml:space="preserve"> 检测机构接受委托开展电气防火检测时，应了解委托方的检测需求，并对检测能力进行评估。</w:t>
      </w:r>
      <w:r>
        <w:rPr>
          <w:rFonts w:hint="eastAsia" w:ascii="宋体" w:hAnsi="宋体" w:eastAsia="宋体" w:cs="宋体"/>
          <w:color w:val="auto"/>
          <w:spacing w:val="11"/>
          <w:sz w:val="21"/>
          <w:szCs w:val="21"/>
          <w:highlight w:val="none"/>
          <w:lang w:val="en-US" w:eastAsia="zh-CN"/>
        </w:rPr>
        <w:t xml:space="preserve"> </w:t>
      </w:r>
    </w:p>
    <w:p w14:paraId="30EEEDF9">
      <w:pPr>
        <w:keepNext w:val="0"/>
        <w:keepLines w:val="0"/>
        <w:pageBreakBefore w:val="0"/>
        <w:widowControl/>
        <w:tabs>
          <w:tab w:val="right" w:leader="dot" w:pos="9334"/>
        </w:tabs>
        <w:kinsoku w:val="0"/>
        <w:wordWrap/>
        <w:overflowPunct/>
        <w:topLinePunct w:val="0"/>
        <w:autoSpaceDE w:val="0"/>
        <w:autoSpaceDN w:val="0"/>
        <w:bidi w:val="0"/>
        <w:adjustRightInd/>
        <w:snapToGrid/>
        <w:spacing w:line="240" w:lineRule="auto"/>
        <w:ind w:left="0"/>
        <w:jc w:val="left"/>
        <w:textAlignment w:val="baseline"/>
        <w:rPr>
          <w:rFonts w:hint="eastAsia" w:ascii="宋体" w:hAnsi="宋体" w:eastAsia="宋体" w:cs="宋体"/>
          <w:color w:val="auto"/>
          <w:spacing w:val="11"/>
          <w:sz w:val="22"/>
          <w:szCs w:val="22"/>
          <w:highlight w:val="none"/>
          <w:lang w:val="en-US" w:eastAsia="zh-CN"/>
        </w:rPr>
      </w:pPr>
      <w:r>
        <w:rPr>
          <w:rFonts w:hint="eastAsia" w:ascii="黑体" w:hAnsi="黑体" w:eastAsia="黑体" w:cs="黑体"/>
          <w:snapToGrid w:val="0"/>
          <w:color w:val="auto"/>
          <w:kern w:val="0"/>
          <w:sz w:val="21"/>
          <w:szCs w:val="21"/>
          <w:lang w:val="en-US" w:eastAsia="zh-CN" w:bidi="ar"/>
        </w:rPr>
        <w:t>5.1.1.2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检测机构接受委托后，检测合同</w:t>
      </w:r>
      <w:r>
        <w:rPr>
          <w:rFonts w:hint="eastAsia" w:ascii="宋体" w:hAnsi="宋体" w:cs="宋体"/>
          <w:color w:val="auto"/>
          <w:kern w:val="0"/>
          <w:sz w:val="21"/>
          <w:szCs w:val="21"/>
          <w:lang w:val="en-US" w:eastAsia="zh-CN" w:bidi="ar"/>
        </w:rPr>
        <w:t>应</w:t>
      </w:r>
      <w:r>
        <w:rPr>
          <w:rFonts w:hint="eastAsia" w:ascii="宋体" w:hAnsi="宋体" w:eastAsia="宋体" w:cs="宋体"/>
          <w:color w:val="auto"/>
          <w:kern w:val="0"/>
          <w:sz w:val="21"/>
          <w:szCs w:val="21"/>
          <w:lang w:val="en-US" w:eastAsia="zh-CN" w:bidi="ar"/>
        </w:rPr>
        <w:t>明确检测对象、检测范围、检测项目、检测标准、检测时限等。</w:t>
      </w:r>
      <w:r>
        <w:rPr>
          <w:rFonts w:hint="eastAsia" w:ascii="宋体" w:hAnsi="宋体" w:eastAsia="宋体" w:cs="宋体"/>
          <w:color w:val="auto"/>
          <w:spacing w:val="11"/>
          <w:sz w:val="22"/>
          <w:szCs w:val="22"/>
          <w:highlight w:val="none"/>
          <w:lang w:val="en-US" w:eastAsia="zh-CN"/>
        </w:rPr>
        <w:t xml:space="preserve"> </w:t>
      </w:r>
    </w:p>
    <w:p w14:paraId="3F0CFE45">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22" w:name="_Toc7618"/>
      <w:bookmarkStart w:id="123" w:name="_Toc30396"/>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制定方案</w:t>
      </w:r>
      <w:bookmarkEnd w:id="122"/>
      <w:bookmarkEnd w:id="123"/>
      <w:r>
        <w:rPr>
          <w:rFonts w:hint="eastAsia" w:ascii="黑体" w:hAnsi="黑体" w:eastAsia="黑体" w:cs="黑体"/>
          <w:snapToGrid w:val="0"/>
          <w:color w:val="auto"/>
          <w:spacing w:val="8"/>
          <w:kern w:val="0"/>
          <w:sz w:val="21"/>
          <w:szCs w:val="21"/>
          <w:highlight w:val="none"/>
          <w:lang w:val="en-US" w:eastAsia="zh-CN"/>
        </w:rPr>
        <w:t xml:space="preserve"> </w:t>
      </w:r>
    </w:p>
    <w:p w14:paraId="41FEDED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5.1.2.1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检测机构开展现场检测前应按照检测对象的实际情况，提前勘察现场，编制检测方案。</w:t>
      </w:r>
      <w:r>
        <w:rPr>
          <w:rFonts w:hint="eastAsia" w:ascii="宋体" w:hAnsi="宋体" w:eastAsia="宋体" w:cs="宋体"/>
          <w:color w:val="auto"/>
          <w:spacing w:val="11"/>
          <w:sz w:val="21"/>
          <w:szCs w:val="21"/>
          <w:highlight w:val="none"/>
          <w:lang w:val="en-US" w:eastAsia="zh-CN"/>
        </w:rPr>
        <w:t xml:space="preserve"> </w:t>
      </w:r>
    </w:p>
    <w:p w14:paraId="1FC4B74E">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5.1.2.2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检测方案制定前，</w:t>
      </w:r>
      <w:r>
        <w:rPr>
          <w:rFonts w:hint="eastAsia" w:ascii="宋体" w:hAnsi="宋体" w:cs="宋体"/>
          <w:color w:val="auto"/>
          <w:kern w:val="0"/>
          <w:sz w:val="21"/>
          <w:szCs w:val="21"/>
          <w:lang w:val="en-US" w:eastAsia="zh-CN" w:bidi="ar"/>
        </w:rPr>
        <w:t>项目负责人</w:t>
      </w:r>
      <w:r>
        <w:rPr>
          <w:rFonts w:hint="eastAsia" w:ascii="宋体" w:hAnsi="宋体" w:eastAsia="宋体" w:cs="宋体"/>
          <w:color w:val="auto"/>
          <w:kern w:val="0"/>
          <w:sz w:val="21"/>
          <w:szCs w:val="21"/>
          <w:lang w:val="en-US" w:eastAsia="zh-CN" w:bidi="ar"/>
        </w:rPr>
        <w:t>应对检测对象基本情况进行核对、统计、确认，明确检测项目、人员组织、时间安排、检测方法、安全保障措施等。</w:t>
      </w:r>
      <w:r>
        <w:rPr>
          <w:rFonts w:hint="eastAsia" w:ascii="宋体" w:hAnsi="宋体" w:eastAsia="宋体" w:cs="宋体"/>
          <w:color w:val="auto"/>
          <w:spacing w:val="11"/>
          <w:sz w:val="21"/>
          <w:szCs w:val="21"/>
          <w:highlight w:val="none"/>
          <w:lang w:val="en-US" w:eastAsia="zh-CN"/>
        </w:rPr>
        <w:t xml:space="preserve"> </w:t>
      </w:r>
    </w:p>
    <w:p w14:paraId="11001642">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outlineLvl w:val="9"/>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5.1.2.3</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检测方案应包括以下内容</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1D5DCD68">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检测对象概况</w:t>
      </w:r>
      <w:r>
        <w:rPr>
          <w:rFonts w:hint="eastAsia" w:ascii="宋体" w:hAnsi="宋体" w:cs="宋体"/>
          <w:color w:val="auto"/>
          <w:kern w:val="0"/>
          <w:sz w:val="21"/>
          <w:szCs w:val="21"/>
          <w:lang w:val="en-US" w:eastAsia="zh-CN" w:bidi="ar"/>
        </w:rPr>
        <w:t>；</w:t>
      </w:r>
    </w:p>
    <w:p w14:paraId="77B8207E">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检测依据</w:t>
      </w:r>
      <w:r>
        <w:rPr>
          <w:rFonts w:hint="eastAsia" w:ascii="宋体" w:hAnsi="宋体" w:cs="宋体"/>
          <w:color w:val="auto"/>
          <w:kern w:val="0"/>
          <w:sz w:val="21"/>
          <w:szCs w:val="21"/>
          <w:lang w:val="en-US" w:eastAsia="zh-CN" w:bidi="ar"/>
        </w:rPr>
        <w:t>；</w:t>
      </w:r>
    </w:p>
    <w:p w14:paraId="0B6627B5">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项目负责人、技术负责人</w:t>
      </w:r>
      <w:r>
        <w:rPr>
          <w:rFonts w:hint="eastAsia" w:ascii="宋体" w:hAnsi="宋体" w:cs="宋体"/>
          <w:color w:val="auto"/>
          <w:spacing w:val="11"/>
          <w:sz w:val="21"/>
          <w:szCs w:val="21"/>
          <w:highlight w:val="none"/>
          <w:lang w:val="en-US" w:eastAsia="zh-CN"/>
        </w:rPr>
        <w:t>；</w:t>
      </w:r>
    </w:p>
    <w:p w14:paraId="3882918E">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检测项目、检测方法及检测设备</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76250F59">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合格标准、进度计划</w:t>
      </w:r>
      <w:r>
        <w:rPr>
          <w:rFonts w:hint="eastAsia" w:ascii="宋体" w:hAnsi="宋体" w:cs="宋体"/>
          <w:color w:val="auto"/>
          <w:kern w:val="0"/>
          <w:sz w:val="21"/>
          <w:szCs w:val="21"/>
          <w:lang w:val="en-US" w:eastAsia="zh-CN" w:bidi="ar"/>
        </w:rPr>
        <w:t>；</w:t>
      </w:r>
    </w:p>
    <w:p w14:paraId="58C6EB8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f)</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安全保障措施。</w:t>
      </w:r>
      <w:r>
        <w:rPr>
          <w:rFonts w:hint="eastAsia" w:ascii="宋体" w:hAnsi="宋体" w:eastAsia="宋体" w:cs="宋体"/>
          <w:color w:val="auto"/>
          <w:spacing w:val="11"/>
          <w:sz w:val="21"/>
          <w:szCs w:val="21"/>
          <w:highlight w:val="none"/>
          <w:lang w:val="en-US" w:eastAsia="zh-CN"/>
        </w:rPr>
        <w:t xml:space="preserve"> </w:t>
      </w:r>
    </w:p>
    <w:p w14:paraId="07B1BC64">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24" w:name="_Toc432"/>
      <w:bookmarkStart w:id="125" w:name="_Toc22577"/>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.1.3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检测准备</w:t>
      </w:r>
      <w:bookmarkEnd w:id="124"/>
      <w:bookmarkEnd w:id="125"/>
      <w:r>
        <w:rPr>
          <w:rFonts w:hint="eastAsia" w:ascii="黑体" w:hAnsi="黑体" w:eastAsia="黑体" w:cs="黑体"/>
          <w:snapToGrid w:val="0"/>
          <w:color w:val="auto"/>
          <w:spacing w:val="8"/>
          <w:kern w:val="0"/>
          <w:sz w:val="21"/>
          <w:szCs w:val="21"/>
          <w:highlight w:val="none"/>
          <w:lang w:val="en-US" w:eastAsia="zh-CN"/>
        </w:rPr>
        <w:t xml:space="preserve"> </w:t>
      </w:r>
    </w:p>
    <w:p w14:paraId="5A48EB36">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5.1.3.1  </w:t>
      </w:r>
      <w:r>
        <w:rPr>
          <w:rFonts w:hint="eastAsia" w:ascii="宋体" w:hAnsi="宋体" w:eastAsia="宋体" w:cs="宋体"/>
          <w:color w:val="auto"/>
          <w:kern w:val="0"/>
          <w:sz w:val="21"/>
          <w:szCs w:val="21"/>
          <w:lang w:val="en-US" w:eastAsia="zh-CN" w:bidi="ar"/>
        </w:rPr>
        <w:t>检测开始前，检测机构应在委托方的配合下查阅以下资料</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1CA12D2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color w:val="auto"/>
          <w:kern w:val="0"/>
          <w:sz w:val="21"/>
          <w:szCs w:val="21"/>
          <w:lang w:val="en-US" w:eastAsia="zh-CN" w:bidi="ar"/>
        </w:rPr>
        <w:t>电气装置、产品的合格证明文件</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57D037D4">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b)  </w:t>
      </w:r>
      <w:r>
        <w:rPr>
          <w:rFonts w:hint="eastAsia" w:ascii="宋体" w:hAnsi="宋体" w:eastAsia="宋体" w:cs="宋体"/>
          <w:color w:val="auto"/>
          <w:kern w:val="0"/>
          <w:sz w:val="21"/>
          <w:szCs w:val="21"/>
          <w:lang w:val="en-US" w:eastAsia="zh-CN" w:bidi="ar"/>
        </w:rPr>
        <w:t>配电系统图及相关文件</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5BDED9E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c)  </w:t>
      </w:r>
      <w:r>
        <w:rPr>
          <w:rFonts w:hint="eastAsia" w:ascii="宋体" w:hAnsi="宋体" w:eastAsia="宋体" w:cs="宋体"/>
          <w:color w:val="auto"/>
          <w:kern w:val="0"/>
          <w:sz w:val="21"/>
          <w:szCs w:val="21"/>
          <w:lang w:val="en-US" w:eastAsia="zh-CN" w:bidi="ar"/>
        </w:rPr>
        <w:t>运行状况记录和维修记录</w:t>
      </w:r>
      <w:r>
        <w:rPr>
          <w:rFonts w:hint="eastAsia" w:ascii="宋体" w:hAnsi="宋体" w:cs="宋体"/>
          <w:color w:val="auto"/>
          <w:kern w:val="0"/>
          <w:sz w:val="21"/>
          <w:szCs w:val="21"/>
          <w:lang w:val="en-US" w:eastAsia="zh-CN" w:bidi="ar"/>
        </w:rPr>
        <w:t>；</w:t>
      </w:r>
      <w:r>
        <w:rPr>
          <w:rFonts w:hint="eastAsia" w:ascii="宋体" w:hAnsi="宋体" w:eastAsia="宋体" w:cs="宋体"/>
          <w:color w:val="auto"/>
          <w:spacing w:val="11"/>
          <w:sz w:val="21"/>
          <w:szCs w:val="21"/>
          <w:highlight w:val="none"/>
          <w:lang w:val="en-US" w:eastAsia="zh-CN"/>
        </w:rPr>
        <w:t xml:space="preserve"> </w:t>
      </w:r>
    </w:p>
    <w:p w14:paraId="12D4B0CD">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d)  </w:t>
      </w:r>
      <w:r>
        <w:rPr>
          <w:rFonts w:hint="eastAsia" w:ascii="宋体" w:hAnsi="宋体" w:eastAsia="宋体" w:cs="宋体"/>
          <w:color w:val="auto"/>
          <w:kern w:val="0"/>
          <w:sz w:val="21"/>
          <w:szCs w:val="21"/>
          <w:lang w:val="en-US" w:eastAsia="zh-CN" w:bidi="ar"/>
        </w:rPr>
        <w:t xml:space="preserve">系统操作规程、安全管理制度等。 </w:t>
      </w:r>
    </w:p>
    <w:p w14:paraId="2FD56CE1">
      <w:pPr>
        <w:keepNext w:val="0"/>
        <w:keepLines w:val="0"/>
        <w:pageBreakBefore w:val="0"/>
        <w:widowControl/>
        <w:tabs>
          <w:tab w:val="right" w:leader="dot" w:pos="9334"/>
        </w:tabs>
        <w:kinsoku w:val="0"/>
        <w:wordWrap/>
        <w:overflowPunct/>
        <w:topLinePunct w:val="0"/>
        <w:autoSpaceDE w:val="0"/>
        <w:autoSpaceDN w:val="0"/>
        <w:bidi w:val="0"/>
        <w:adjustRightInd w:val="0"/>
        <w:snapToGrid/>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5.1.3.2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现场检测前，检测人员应与委托单位或管理单位确定现场检测所需配合的人员和技术需求</w:t>
      </w:r>
      <w:r>
        <w:rPr>
          <w:rFonts w:hint="eastAsia" w:ascii="宋体" w:hAnsi="宋体" w:eastAsia="宋体" w:cs="宋体"/>
          <w:color w:val="auto"/>
          <w:spacing w:val="11"/>
          <w:sz w:val="21"/>
          <w:szCs w:val="21"/>
          <w:highlight w:val="none"/>
          <w:lang w:val="en-US" w:eastAsia="zh-CN"/>
        </w:rPr>
        <w:t xml:space="preserve">。 </w:t>
      </w:r>
    </w:p>
    <w:p w14:paraId="01B73D3A">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26" w:name="_Toc12929"/>
      <w:bookmarkStart w:id="127" w:name="_Toc28026"/>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.1.4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检测实施</w:t>
      </w:r>
      <w:bookmarkEnd w:id="126"/>
      <w:bookmarkEnd w:id="127"/>
      <w:r>
        <w:rPr>
          <w:rFonts w:hint="eastAsia" w:ascii="黑体" w:hAnsi="黑体" w:eastAsia="黑体" w:cs="黑体"/>
          <w:snapToGrid w:val="0"/>
          <w:color w:val="auto"/>
          <w:spacing w:val="8"/>
          <w:kern w:val="0"/>
          <w:sz w:val="21"/>
          <w:szCs w:val="21"/>
          <w:highlight w:val="none"/>
          <w:lang w:val="en-US" w:eastAsia="zh-CN"/>
        </w:rPr>
        <w:t xml:space="preserve"> </w:t>
      </w:r>
    </w:p>
    <w:p w14:paraId="0945F83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5.1.4.1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电气防火检测应在电气</w:t>
      </w:r>
      <w:r>
        <w:rPr>
          <w:rFonts w:hint="eastAsia" w:ascii="宋体" w:hAnsi="宋体" w:cs="宋体"/>
          <w:color w:val="auto"/>
          <w:kern w:val="0"/>
          <w:sz w:val="21"/>
          <w:szCs w:val="21"/>
          <w:lang w:val="en-US" w:eastAsia="zh-CN" w:bidi="ar"/>
        </w:rPr>
        <w:t>装置</w:t>
      </w:r>
      <w:r>
        <w:rPr>
          <w:rFonts w:hint="eastAsia" w:ascii="宋体" w:hAnsi="宋体" w:eastAsia="宋体" w:cs="宋体"/>
          <w:color w:val="auto"/>
          <w:kern w:val="0"/>
          <w:sz w:val="21"/>
          <w:szCs w:val="21"/>
          <w:lang w:val="en-US" w:eastAsia="zh-CN" w:bidi="ar"/>
        </w:rPr>
        <w:t>和线路带载运行不少于1h，且工作状态正常稳定后进行。</w:t>
      </w:r>
      <w:r>
        <w:rPr>
          <w:rFonts w:hint="eastAsia" w:ascii="宋体" w:hAnsi="宋体" w:eastAsia="宋体" w:cs="宋体"/>
          <w:color w:val="auto"/>
          <w:spacing w:val="11"/>
          <w:sz w:val="21"/>
          <w:szCs w:val="21"/>
          <w:highlight w:val="none"/>
          <w:lang w:val="en-US" w:eastAsia="zh-CN"/>
        </w:rPr>
        <w:t xml:space="preserve"> </w:t>
      </w:r>
    </w:p>
    <w:p w14:paraId="12E8F5B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outlineLvl w:val="9"/>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5.1.4.2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检测机构应按第</w:t>
      </w:r>
      <w:r>
        <w:rPr>
          <w:rFonts w:hint="eastAsia" w:ascii="宋体" w:hAnsi="宋体" w:cs="宋体"/>
          <w:color w:val="auto"/>
          <w:kern w:val="0"/>
          <w:sz w:val="21"/>
          <w:szCs w:val="21"/>
          <w:lang w:val="en-US" w:eastAsia="zh-CN" w:bidi="ar"/>
        </w:rPr>
        <w:t>7.1条</w:t>
      </w:r>
      <w:r>
        <w:rPr>
          <w:rFonts w:hint="eastAsia" w:ascii="宋体" w:hAnsi="宋体" w:eastAsia="宋体" w:cs="宋体"/>
          <w:color w:val="auto"/>
          <w:kern w:val="0"/>
          <w:sz w:val="21"/>
          <w:szCs w:val="21"/>
          <w:lang w:val="en-US" w:eastAsia="zh-CN" w:bidi="ar"/>
        </w:rPr>
        <w:t>的要求开展现场检测。</w:t>
      </w:r>
      <w:r>
        <w:rPr>
          <w:rFonts w:hint="eastAsia" w:ascii="宋体" w:hAnsi="宋体" w:eastAsia="宋体" w:cs="宋体"/>
          <w:color w:val="auto"/>
          <w:spacing w:val="11"/>
          <w:sz w:val="21"/>
          <w:szCs w:val="21"/>
          <w:highlight w:val="none"/>
          <w:lang w:val="en-US" w:eastAsia="zh-CN"/>
        </w:rPr>
        <w:t xml:space="preserve"> </w:t>
      </w:r>
    </w:p>
    <w:p w14:paraId="10C9A625">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5.1.4.3</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检测过程中，检测人员应按照第</w:t>
      </w: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.1条的要求填写检测记录。</w:t>
      </w:r>
      <w:r>
        <w:rPr>
          <w:rFonts w:hint="eastAsia" w:ascii="宋体" w:hAnsi="宋体" w:eastAsia="宋体" w:cs="宋体"/>
          <w:color w:val="auto"/>
          <w:spacing w:val="11"/>
          <w:sz w:val="21"/>
          <w:szCs w:val="21"/>
          <w:highlight w:val="none"/>
          <w:lang w:val="en-US" w:eastAsia="zh-CN"/>
        </w:rPr>
        <w:t xml:space="preserve"> </w:t>
      </w:r>
    </w:p>
    <w:p w14:paraId="44203191">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28" w:name="_Toc28451"/>
      <w:bookmarkStart w:id="129" w:name="_Toc6554"/>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.1.5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检测判定</w:t>
      </w:r>
      <w:bookmarkEnd w:id="128"/>
      <w:bookmarkEnd w:id="129"/>
      <w:r>
        <w:rPr>
          <w:rFonts w:hint="eastAsia" w:ascii="黑体" w:hAnsi="黑体" w:eastAsia="黑体" w:cs="黑体"/>
          <w:snapToGrid w:val="0"/>
          <w:color w:val="auto"/>
          <w:spacing w:val="8"/>
          <w:kern w:val="0"/>
          <w:sz w:val="21"/>
          <w:szCs w:val="21"/>
          <w:highlight w:val="none"/>
          <w:lang w:val="en-US" w:eastAsia="zh-CN"/>
        </w:rPr>
        <w:t xml:space="preserve"> </w:t>
      </w:r>
    </w:p>
    <w:p w14:paraId="1ACE8B2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kern w:val="0"/>
          <w:sz w:val="21"/>
          <w:szCs w:val="21"/>
          <w:lang w:val="en-US" w:eastAsia="zh-CN" w:bidi="ar"/>
        </w:rPr>
        <w:t>现场检测结束后，检测人员应根据检测结果，按第</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2.2</w:t>
      </w:r>
      <w:r>
        <w:rPr>
          <w:rFonts w:hint="eastAsia" w:ascii="宋体" w:hAnsi="宋体" w:eastAsia="宋体" w:cs="宋体"/>
          <w:color w:val="auto"/>
          <w:kern w:val="0"/>
          <w:sz w:val="21"/>
          <w:szCs w:val="21"/>
          <w:lang w:val="en-US" w:eastAsia="zh-CN" w:bidi="ar"/>
        </w:rPr>
        <w:t>条的要求综合判定被检测对象的火灾危险级别。</w:t>
      </w:r>
      <w:r>
        <w:rPr>
          <w:rFonts w:hint="eastAsia" w:ascii="宋体" w:hAnsi="宋体" w:eastAsia="宋体" w:cs="宋体"/>
          <w:color w:val="auto"/>
          <w:spacing w:val="11"/>
          <w:sz w:val="21"/>
          <w:szCs w:val="21"/>
          <w:highlight w:val="none"/>
          <w:lang w:val="en-US" w:eastAsia="zh-CN"/>
        </w:rPr>
        <w:t xml:space="preserve"> </w:t>
      </w:r>
    </w:p>
    <w:p w14:paraId="78968E5D">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130" w:name="_Toc18038"/>
      <w:bookmarkStart w:id="131" w:name="_Toc23864"/>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.1.6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出具报告</w:t>
      </w:r>
      <w:bookmarkEnd w:id="130"/>
      <w:bookmarkEnd w:id="131"/>
      <w:r>
        <w:rPr>
          <w:rFonts w:hint="eastAsia" w:ascii="黑体" w:hAnsi="黑体" w:eastAsia="黑体" w:cs="黑体"/>
          <w:snapToGrid w:val="0"/>
          <w:color w:val="auto"/>
          <w:spacing w:val="8"/>
          <w:kern w:val="0"/>
          <w:sz w:val="21"/>
          <w:szCs w:val="21"/>
          <w:highlight w:val="none"/>
          <w:lang w:val="en-US" w:eastAsia="zh-CN"/>
        </w:rPr>
        <w:t xml:space="preserve"> </w:t>
      </w:r>
    </w:p>
    <w:p w14:paraId="6129A6F6">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检测机构应依据检测判定的结果，由项目负责人组织现场检测人员按照第</w:t>
      </w: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.2条的要求编制检测报告。</w:t>
      </w:r>
    </w:p>
    <w:p w14:paraId="67D8AF17">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132" w:name="_Toc31953"/>
      <w:bookmarkStart w:id="133" w:name="_Toc23526"/>
      <w:bookmarkStart w:id="134" w:name="_Toc9947"/>
      <w:bookmarkStart w:id="135" w:name="_Toc12700"/>
      <w:bookmarkStart w:id="136" w:name="_Toc27935"/>
      <w:bookmarkStart w:id="137" w:name="_Toc8140"/>
      <w:bookmarkStart w:id="138" w:name="_Toc29727"/>
      <w:bookmarkStart w:id="139" w:name="_Toc11035"/>
      <w:bookmarkStart w:id="140" w:name="_Toc18261"/>
      <w:bookmarkStart w:id="141" w:name="_Toc376"/>
      <w:bookmarkStart w:id="142" w:name="_Toc25134"/>
      <w:bookmarkStart w:id="143" w:name="_Toc6265"/>
      <w:bookmarkStart w:id="144" w:name="_Toc30553"/>
      <w:bookmarkStart w:id="145" w:name="_Toc23532"/>
      <w:bookmarkStart w:id="146" w:name="_Toc17771"/>
      <w:bookmarkStart w:id="147" w:name="_Toc25392"/>
      <w:bookmarkStart w:id="148" w:name="_Toc2182"/>
      <w:bookmarkStart w:id="149" w:name="_Toc13543"/>
      <w:bookmarkStart w:id="150" w:name="_Toc4520"/>
      <w:bookmarkStart w:id="151" w:name="_Toc22136"/>
      <w:bookmarkStart w:id="152" w:name="_Toc22559"/>
      <w:bookmarkStart w:id="153" w:name="_Toc2799"/>
      <w:bookmarkStart w:id="154" w:name="_Toc6189"/>
      <w:bookmarkStart w:id="155" w:name="_Toc3051"/>
      <w:bookmarkStart w:id="156" w:name="_Toc21243"/>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检测要求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177205E">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5.2.1　</w:t>
      </w:r>
      <w:r>
        <w:rPr>
          <w:rFonts w:hint="eastAsia" w:ascii="宋体" w:hAnsi="宋体" w:eastAsia="宋体" w:cs="宋体"/>
          <w:color w:val="auto"/>
          <w:kern w:val="0"/>
          <w:sz w:val="21"/>
          <w:szCs w:val="21"/>
          <w:lang w:val="en-US" w:eastAsia="zh-CN" w:bidi="ar"/>
        </w:rPr>
        <w:t>电气防火检测应在电气系统负荷不少于30%，运行1h以上，处于热稳定后进行。</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w:t>
      </w:r>
    </w:p>
    <w:p w14:paraId="66FB21C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5.2.2　</w:t>
      </w:r>
      <w:r>
        <w:rPr>
          <w:rFonts w:hint="eastAsia" w:ascii="宋体" w:hAnsi="宋体" w:eastAsia="宋体" w:cs="宋体"/>
          <w:color w:val="auto"/>
          <w:kern w:val="0"/>
          <w:sz w:val="21"/>
          <w:szCs w:val="21"/>
          <w:lang w:val="en-US" w:eastAsia="zh-CN" w:bidi="ar"/>
        </w:rPr>
        <w:t>检测时，委托单位应提供下列资料供现场检测参考使用</w:t>
      </w:r>
      <w:r>
        <w:rPr>
          <w:rFonts w:hint="eastAsia" w:ascii="宋体" w:hAnsi="宋体" w:cs="宋体"/>
          <w:color w:val="auto"/>
          <w:kern w:val="0"/>
          <w:sz w:val="21"/>
          <w:szCs w:val="21"/>
          <w:lang w:val="en-US" w:eastAsia="zh-CN" w:bidi="ar"/>
        </w:rPr>
        <w:t>：</w:t>
      </w:r>
    </w:p>
    <w:p w14:paraId="56D331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color w:val="auto"/>
          <w:kern w:val="0"/>
          <w:sz w:val="21"/>
          <w:szCs w:val="21"/>
          <w:lang w:val="en-US" w:eastAsia="zh-CN" w:bidi="ar"/>
        </w:rPr>
        <w:t>配电系统图；保护、控制、测量二次图</w:t>
      </w:r>
      <w:r>
        <w:rPr>
          <w:rFonts w:hint="eastAsia" w:ascii="宋体" w:hAnsi="宋体" w:cs="宋体"/>
          <w:color w:val="auto"/>
          <w:kern w:val="0"/>
          <w:sz w:val="21"/>
          <w:szCs w:val="21"/>
          <w:lang w:val="en-US" w:eastAsia="zh-CN" w:bidi="ar"/>
        </w:rPr>
        <w:t>；</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w:t>
      </w:r>
    </w:p>
    <w:p w14:paraId="045316D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b)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真实、完整的运行状况记录和维修记录； </w:t>
      </w:r>
    </w:p>
    <w:p w14:paraId="1AA460D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c)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历年的用电数据。 </w:t>
      </w:r>
    </w:p>
    <w:p w14:paraId="1147CD4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 xml:space="preserve">5.2.3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进行电气防火检测工作时，委托方应配合做好以下工作： </w:t>
      </w:r>
    </w:p>
    <w:p w14:paraId="6A3A44E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a)  </w:t>
      </w:r>
      <w:r>
        <w:rPr>
          <w:rFonts w:hint="eastAsia" w:asciiTheme="minorEastAsia" w:hAnsiTheme="minorEastAsia" w:eastAsiaTheme="minorEastAsia" w:cstheme="minorEastAsia"/>
          <w:snapToGrid w:val="0"/>
          <w:color w:val="auto"/>
          <w:kern w:val="0"/>
          <w:sz w:val="21"/>
          <w:szCs w:val="21"/>
          <w:highlight w:val="none"/>
          <w:lang w:val="en-US" w:eastAsia="zh-CN" w:bidi="ar"/>
        </w:rPr>
        <w:t>做好有关线路的倒闸操作；</w:t>
      </w:r>
    </w:p>
    <w:p w14:paraId="794271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b)  </w:t>
      </w:r>
      <w:r>
        <w:rPr>
          <w:rFonts w:hint="eastAsia" w:asciiTheme="minorEastAsia" w:hAnsiTheme="minorEastAsia" w:eastAsiaTheme="minorEastAsia" w:cstheme="minorEastAsia"/>
          <w:snapToGrid w:val="0"/>
          <w:color w:val="auto"/>
          <w:kern w:val="0"/>
          <w:sz w:val="21"/>
          <w:szCs w:val="21"/>
          <w:highlight w:val="none"/>
          <w:lang w:val="en-US" w:eastAsia="zh-CN" w:bidi="ar"/>
        </w:rPr>
        <w:t>做好现场安全提示；</w:t>
      </w:r>
    </w:p>
    <w:p w14:paraId="05963B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c)  </w:t>
      </w:r>
      <w:r>
        <w:rPr>
          <w:rFonts w:hint="eastAsia" w:asciiTheme="minorEastAsia" w:hAnsiTheme="minorEastAsia" w:eastAsiaTheme="minorEastAsia" w:cstheme="minorEastAsia"/>
          <w:snapToGrid w:val="0"/>
          <w:color w:val="auto"/>
          <w:kern w:val="0"/>
          <w:sz w:val="21"/>
          <w:szCs w:val="21"/>
          <w:highlight w:val="none"/>
          <w:lang w:val="en-US" w:eastAsia="zh-CN" w:bidi="ar"/>
        </w:rPr>
        <w:t>做好现场安全监护工作；</w:t>
      </w:r>
    </w:p>
    <w:p w14:paraId="4298CD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d)  </w:t>
      </w:r>
      <w:r>
        <w:rPr>
          <w:rFonts w:hint="eastAsia" w:asciiTheme="minorEastAsia" w:hAnsiTheme="minorEastAsia" w:eastAsiaTheme="minorEastAsia" w:cstheme="minorEastAsia"/>
          <w:snapToGrid w:val="0"/>
          <w:color w:val="auto"/>
          <w:kern w:val="0"/>
          <w:sz w:val="21"/>
          <w:szCs w:val="21"/>
          <w:highlight w:val="none"/>
          <w:lang w:val="en-US" w:eastAsia="zh-CN" w:bidi="ar"/>
        </w:rPr>
        <w:t>配合相关设备拆装、启合等操作；</w:t>
      </w:r>
    </w:p>
    <w:p w14:paraId="733842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e)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做好其他现场检测必要的配合。 </w:t>
      </w:r>
    </w:p>
    <w:p w14:paraId="353E5C0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5.2.4</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现场检测应遵守电气高、低压安全作业及委托方其他安全相关规定。 </w:t>
      </w:r>
    </w:p>
    <w:p w14:paraId="21D36197">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default" w:ascii="黑体" w:hAnsi="黑体" w:eastAsia="黑体" w:cs="黑体"/>
          <w:snapToGrid w:val="0"/>
          <w:color w:val="auto"/>
          <w:spacing w:val="8"/>
          <w:kern w:val="0"/>
          <w:sz w:val="21"/>
          <w:szCs w:val="21"/>
          <w:highlight w:val="none"/>
          <w:lang w:val="en-US" w:eastAsia="zh-CN"/>
        </w:rPr>
      </w:pPr>
      <w:bookmarkStart w:id="157" w:name="_Toc1344"/>
      <w:bookmarkStart w:id="158" w:name="_Toc14973"/>
      <w:bookmarkStart w:id="159" w:name="_Toc10906"/>
      <w:bookmarkStart w:id="160" w:name="_Toc8664"/>
      <w:bookmarkStart w:id="161" w:name="_Toc21506"/>
      <w:bookmarkStart w:id="162" w:name="_Toc32450"/>
      <w:bookmarkStart w:id="163" w:name="_Toc23618"/>
      <w:bookmarkStart w:id="164" w:name="_Toc24295"/>
      <w:bookmarkStart w:id="165" w:name="_Toc25788"/>
      <w:bookmarkStart w:id="166" w:name="_Toc28260"/>
      <w:bookmarkStart w:id="167" w:name="_Toc20279"/>
      <w:bookmarkStart w:id="168" w:name="_Toc30179"/>
      <w:bookmarkStart w:id="169" w:name="_Toc25561"/>
      <w:bookmarkStart w:id="170" w:name="_Toc27368"/>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.3 </w:t>
      </w:r>
      <w:r>
        <w:rPr>
          <w:rFonts w:hint="eastAsia" w:hAnsi="黑体" w:cs="黑体"/>
          <w:snapToGrid w:val="0"/>
          <w:color w:val="auto"/>
          <w:spacing w:val="8"/>
          <w:kern w:val="0"/>
          <w:sz w:val="21"/>
          <w:szCs w:val="21"/>
          <w:highlight w:val="none"/>
          <w:lang w:val="en-US" w:eastAsia="zh-CN"/>
        </w:rPr>
        <w:t xml:space="preserve"> 抽样原则</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BC4C73C">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color w:val="auto"/>
          <w:sz w:val="21"/>
          <w:szCs w:val="21"/>
          <w:lang w:val="en-US" w:eastAsia="zh-CN"/>
        </w:rPr>
      </w:pPr>
      <w:r>
        <w:rPr>
          <w:rFonts w:hint="eastAsia" w:hAnsi="黑体" w:cs="黑体"/>
          <w:snapToGrid w:val="0"/>
          <w:color w:val="auto"/>
          <w:kern w:val="0"/>
          <w:sz w:val="21"/>
          <w:szCs w:val="21"/>
          <w:lang w:val="en-US" w:eastAsia="zh-CN" w:bidi="ar"/>
        </w:rPr>
        <w:t>5</w:t>
      </w:r>
      <w:r>
        <w:rPr>
          <w:rFonts w:hint="eastAsia" w:ascii="黑体" w:hAnsi="黑体" w:eastAsia="黑体" w:cs="黑体"/>
          <w:snapToGrid w:val="0"/>
          <w:color w:val="auto"/>
          <w:kern w:val="0"/>
          <w:sz w:val="21"/>
          <w:szCs w:val="21"/>
          <w:lang w:val="en-US" w:eastAsia="zh-CN" w:bidi="ar"/>
        </w:rPr>
        <w:t>.</w:t>
      </w:r>
      <w:r>
        <w:rPr>
          <w:rFonts w:hint="eastAsia" w:hAnsi="黑体" w:cs="黑体"/>
          <w:snapToGrid w:val="0"/>
          <w:color w:val="auto"/>
          <w:kern w:val="0"/>
          <w:sz w:val="21"/>
          <w:szCs w:val="21"/>
          <w:lang w:val="en-US" w:eastAsia="zh-CN" w:bidi="ar"/>
        </w:rPr>
        <w:t>3</w:t>
      </w:r>
      <w:r>
        <w:rPr>
          <w:rFonts w:hint="eastAsia" w:ascii="黑体" w:hAnsi="黑体" w:eastAsia="黑体" w:cs="黑体"/>
          <w:snapToGrid w:val="0"/>
          <w:color w:val="auto"/>
          <w:kern w:val="0"/>
          <w:sz w:val="21"/>
          <w:szCs w:val="21"/>
          <w:lang w:val="en-US" w:eastAsia="zh-CN" w:bidi="ar"/>
        </w:rPr>
        <w:t>.</w:t>
      </w:r>
      <w:r>
        <w:rPr>
          <w:rFonts w:hint="eastAsia" w:hAnsi="黑体" w:cs="黑体"/>
          <w:snapToGrid w:val="0"/>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变压器、高压配电装置等应全部检测。</w:t>
      </w:r>
    </w:p>
    <w:p w14:paraId="3669E531">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color w:val="auto"/>
          <w:sz w:val="21"/>
          <w:szCs w:val="21"/>
          <w:lang w:val="en-US" w:eastAsia="zh-CN"/>
        </w:rPr>
      </w:pPr>
      <w:r>
        <w:rPr>
          <w:rFonts w:hint="eastAsia" w:ascii="黑体" w:hAnsi="黑体" w:eastAsia="黑体" w:cs="黑体"/>
          <w:snapToGrid w:val="0"/>
          <w:color w:val="auto"/>
          <w:kern w:val="0"/>
          <w:sz w:val="21"/>
          <w:szCs w:val="21"/>
          <w:lang w:val="en-US" w:eastAsia="zh-CN" w:bidi="ar"/>
        </w:rPr>
        <w:t>5.3.2</w:t>
      </w:r>
      <w:r>
        <w:rPr>
          <w:rFonts w:hint="eastAsia" w:hAnsi="黑体" w:cs="黑体"/>
          <w:snapToGrid w:val="0"/>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低压电器按防火分区或楼层实际安装数量进行抽检。抽检率不少于30%，且不少于10台（安装数量10台及以下者，全部检测）。</w:t>
      </w:r>
    </w:p>
    <w:p w14:paraId="5852C7B5">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eastAsia" w:hAnsi="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5.3.3  </w:t>
      </w:r>
      <w:r>
        <w:rPr>
          <w:rFonts w:hint="eastAsia" w:hAnsi="黑体" w:cs="黑体"/>
          <w:snapToGrid w:val="0"/>
          <w:color w:val="auto"/>
          <w:kern w:val="0"/>
          <w:sz w:val="21"/>
          <w:szCs w:val="21"/>
          <w:lang w:val="en-US" w:eastAsia="zh-CN" w:bidi="ar"/>
        </w:rPr>
        <w:t>在电缆沟、竖井、电缆隧道等成束敷设的电气线路应全部检测，分支线路按总数进行抽检，抽检率不低于20%，且每个防火分区或楼层不应少于2处。</w:t>
      </w:r>
    </w:p>
    <w:p w14:paraId="5AE8437B">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hAnsi="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5.3.4  </w:t>
      </w:r>
      <w:r>
        <w:rPr>
          <w:rFonts w:hint="eastAsia" w:hAnsi="黑体" w:cs="黑体"/>
          <w:snapToGrid w:val="0"/>
          <w:color w:val="auto"/>
          <w:kern w:val="0"/>
          <w:sz w:val="21"/>
          <w:szCs w:val="21"/>
          <w:lang w:val="en-US" w:eastAsia="zh-CN" w:bidi="ar"/>
        </w:rPr>
        <w:t>开关、插座、照明灯具和</w:t>
      </w:r>
      <w:r>
        <w:rPr>
          <w:rFonts w:ascii="䅂䍄䕅⯋컌" w:hAnsi="䅂䍄䕅⯋컌" w:eastAsia="䅂䍄䕅⯋컌" w:cs="䅂䍄䕅⯋컌"/>
          <w:color w:val="auto"/>
          <w:kern w:val="0"/>
          <w:sz w:val="21"/>
          <w:szCs w:val="21"/>
          <w:lang w:val="en-US" w:eastAsia="zh-CN" w:bidi="ar"/>
        </w:rPr>
        <w:t>其它用电电器</w:t>
      </w:r>
      <w:r>
        <w:rPr>
          <w:rFonts w:hint="eastAsia" w:hAnsi="黑体" w:cs="黑体"/>
          <w:snapToGrid w:val="0"/>
          <w:color w:val="auto"/>
          <w:kern w:val="0"/>
          <w:sz w:val="21"/>
          <w:szCs w:val="21"/>
          <w:lang w:val="en-US" w:eastAsia="zh-CN" w:bidi="ar"/>
        </w:rPr>
        <w:t>按防火分区或楼层进行抽检，抽检率不低于</w:t>
      </w:r>
      <w:r>
        <w:rPr>
          <w:rFonts w:hint="eastAsia" w:ascii="宋体" w:hAnsi="宋体" w:cs="宋体"/>
          <w:snapToGrid w:val="0"/>
          <w:color w:val="auto"/>
          <w:kern w:val="0"/>
          <w:sz w:val="21"/>
          <w:szCs w:val="21"/>
          <w:lang w:val="en-US" w:eastAsia="zh-CN" w:bidi="ar"/>
        </w:rPr>
        <w:t>1</w:t>
      </w:r>
      <w:r>
        <w:rPr>
          <w:rFonts w:hint="eastAsia" w:ascii="宋体" w:hAnsi="宋体" w:eastAsia="宋体" w:cs="宋体"/>
          <w:snapToGrid w:val="0"/>
          <w:color w:val="auto"/>
          <w:kern w:val="0"/>
          <w:sz w:val="21"/>
          <w:szCs w:val="21"/>
          <w:lang w:val="en-US" w:eastAsia="zh-CN" w:bidi="ar"/>
        </w:rPr>
        <w:t>0%</w:t>
      </w:r>
      <w:r>
        <w:rPr>
          <w:rFonts w:hint="eastAsia" w:hAnsi="黑体" w:cs="黑体"/>
          <w:snapToGrid w:val="0"/>
          <w:color w:val="auto"/>
          <w:kern w:val="0"/>
          <w:sz w:val="21"/>
          <w:szCs w:val="21"/>
          <w:lang w:val="en-US" w:eastAsia="zh-CN" w:bidi="ar"/>
        </w:rPr>
        <w:t>。</w:t>
      </w:r>
    </w:p>
    <w:p w14:paraId="0CD896E7">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Times New Roman" w:eastAsia="宋体" w:cs="Times New Roman"/>
          <w:color w:val="auto"/>
          <w:sz w:val="21"/>
          <w:lang w:val="en-US" w:eastAsia="zh-CN" w:bidi="ar-SA"/>
        </w:rPr>
      </w:pPr>
      <w:r>
        <w:rPr>
          <w:rFonts w:hint="eastAsia" w:ascii="黑体" w:hAnsi="黑体" w:eastAsia="黑体" w:cs="黑体"/>
          <w:snapToGrid w:val="0"/>
          <w:color w:val="auto"/>
          <w:kern w:val="0"/>
          <w:sz w:val="21"/>
          <w:szCs w:val="21"/>
          <w:lang w:val="en-US" w:eastAsia="zh-CN" w:bidi="ar"/>
        </w:rPr>
        <w:t xml:space="preserve">5.3.5  </w:t>
      </w:r>
      <w:r>
        <w:rPr>
          <w:rFonts w:hint="eastAsia" w:ascii="宋体" w:hAnsi="宋体" w:eastAsia="宋体" w:cs="宋体"/>
          <w:color w:val="auto"/>
          <w:kern w:val="0"/>
          <w:sz w:val="21"/>
          <w:szCs w:val="21"/>
          <w:lang w:val="en-US" w:eastAsia="zh-CN" w:bidi="ar"/>
        </w:rPr>
        <w:t>接地和等电位联结</w:t>
      </w:r>
      <w:r>
        <w:rPr>
          <w:rFonts w:hint="eastAsia" w:ascii="宋体" w:hAnsi="宋体" w:eastAsia="宋体" w:cs="宋体"/>
          <w:color w:val="auto"/>
          <w:sz w:val="21"/>
          <w:szCs w:val="21"/>
        </w:rPr>
        <w:t>按防火分区或楼层进行抽检</w:t>
      </w:r>
      <w:r>
        <w:rPr>
          <w:rFonts w:hint="eastAsia" w:ascii="宋体" w:hAnsi="宋体" w:cs="宋体"/>
          <w:color w:val="auto"/>
          <w:sz w:val="21"/>
          <w:szCs w:val="21"/>
          <w:lang w:eastAsia="zh-CN"/>
        </w:rPr>
        <w:t>，</w:t>
      </w:r>
      <w:r>
        <w:rPr>
          <w:rFonts w:hint="eastAsia" w:ascii="宋体" w:hAnsi="宋体" w:eastAsia="宋体" w:cs="宋体"/>
          <w:color w:val="auto"/>
          <w:kern w:val="0"/>
          <w:sz w:val="21"/>
          <w:szCs w:val="21"/>
          <w:lang w:val="en-US" w:eastAsia="zh-CN" w:bidi="ar"/>
        </w:rPr>
        <w:t xml:space="preserve">抽检率不低于30%。 </w:t>
      </w:r>
    </w:p>
    <w:p w14:paraId="53D4EA85">
      <w:pPr>
        <w:pStyle w:val="259"/>
        <w:bidi w:val="0"/>
        <w:rPr>
          <w:rFonts w:hint="eastAsia"/>
          <w:color w:val="auto"/>
          <w:lang w:val="en-US" w:eastAsia="zh-CN"/>
        </w:rPr>
      </w:pPr>
      <w:bookmarkStart w:id="171" w:name="_Toc22702"/>
      <w:r>
        <w:rPr>
          <w:rFonts w:hint="eastAsia" w:hAnsi="Times New Roman" w:cs="Times New Roman"/>
          <w:color w:val="auto"/>
        </w:rPr>
        <w:t>技术要求</w:t>
      </w:r>
      <w:bookmarkEnd w:id="69"/>
      <w:bookmarkEnd w:id="70"/>
      <w:bookmarkEnd w:id="71"/>
      <w:bookmarkEnd w:id="72"/>
      <w:bookmarkEnd w:id="73"/>
      <w:bookmarkEnd w:id="74"/>
      <w:bookmarkEnd w:id="75"/>
      <w:bookmarkEnd w:id="76"/>
      <w:bookmarkEnd w:id="77"/>
      <w:bookmarkEnd w:id="78"/>
      <w:bookmarkEnd w:id="79"/>
      <w:bookmarkEnd w:id="171"/>
    </w:p>
    <w:p w14:paraId="75E6E1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outlineLvl w:val="2"/>
        <w:rPr>
          <w:rFonts w:hint="eastAsia" w:ascii="黑体" w:hAnsi="黑体" w:eastAsia="黑体" w:cs="黑体"/>
          <w:snapToGrid w:val="0"/>
          <w:color w:val="auto"/>
          <w:kern w:val="0"/>
          <w:sz w:val="21"/>
          <w:szCs w:val="21"/>
          <w:lang w:val="en-US" w:eastAsia="zh-CN" w:bidi="ar"/>
        </w:rPr>
      </w:pPr>
      <w:bookmarkStart w:id="172" w:name="_Toc16769"/>
      <w:bookmarkStart w:id="173" w:name="_Toc17322"/>
      <w:bookmarkStart w:id="174" w:name="_Toc17937"/>
      <w:bookmarkStart w:id="175" w:name="_Toc3251"/>
      <w:bookmarkStart w:id="176" w:name="_Toc18209"/>
      <w:bookmarkStart w:id="177" w:name="_Toc21603"/>
      <w:bookmarkStart w:id="178" w:name="_Toc15428"/>
      <w:bookmarkStart w:id="179" w:name="_Toc24278"/>
      <w:bookmarkStart w:id="180" w:name="_Toc27352"/>
      <w:bookmarkStart w:id="181" w:name="_Toc19025"/>
      <w:bookmarkStart w:id="182" w:name="_Toc10293"/>
      <w:bookmarkStart w:id="183" w:name="_Toc3133"/>
      <w:bookmarkStart w:id="184" w:name="_Toc27178"/>
      <w:bookmarkStart w:id="185" w:name="_Toc9235"/>
      <w:bookmarkStart w:id="186" w:name="_Toc13084"/>
      <w:bookmarkStart w:id="187" w:name="_Toc3975"/>
      <w:bookmarkStart w:id="188" w:name="_Toc2649"/>
      <w:bookmarkStart w:id="189" w:name="_Toc24768"/>
      <w:bookmarkStart w:id="190" w:name="_Toc17455"/>
      <w:bookmarkStart w:id="191" w:name="_Toc31861"/>
      <w:bookmarkStart w:id="192" w:name="_Toc25549"/>
      <w:bookmarkStart w:id="193" w:name="_Toc13296"/>
      <w:bookmarkStart w:id="194" w:name="_Toc2300"/>
      <w:bookmarkStart w:id="195" w:name="_Toc19086"/>
      <w:r>
        <w:rPr>
          <w:rFonts w:hint="eastAsia" w:ascii="黑体" w:hAnsi="黑体" w:eastAsia="黑体" w:cs="黑体"/>
          <w:snapToGrid w:val="0"/>
          <w:color w:val="auto"/>
          <w:kern w:val="0"/>
          <w:sz w:val="21"/>
          <w:szCs w:val="21"/>
          <w:lang w:val="en-US" w:eastAsia="zh-CN" w:bidi="ar"/>
        </w:rPr>
        <w:t>6.1  变配电装置</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74464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outlineLvl w:val="3"/>
        <w:rPr>
          <w:rFonts w:hint="eastAsia" w:ascii="黑体" w:hAnsi="黑体" w:eastAsia="黑体" w:cs="黑体"/>
          <w:snapToGrid w:val="0"/>
          <w:color w:val="auto"/>
          <w:kern w:val="0"/>
          <w:sz w:val="21"/>
          <w:szCs w:val="21"/>
          <w:lang w:val="en-US" w:eastAsia="zh-CN" w:bidi="ar"/>
        </w:rPr>
      </w:pPr>
      <w:bookmarkStart w:id="196" w:name="_Toc8867"/>
      <w:r>
        <w:rPr>
          <w:rFonts w:hint="eastAsia" w:ascii="黑体" w:hAnsi="黑体" w:eastAsia="黑体" w:cs="黑体"/>
          <w:snapToGrid w:val="0"/>
          <w:color w:val="auto"/>
          <w:kern w:val="0"/>
          <w:sz w:val="21"/>
          <w:szCs w:val="21"/>
          <w:lang w:val="en-US" w:eastAsia="zh-CN" w:bidi="ar"/>
        </w:rPr>
        <w:t>6.1.1  配电变压器</w:t>
      </w:r>
      <w:bookmarkEnd w:id="196"/>
    </w:p>
    <w:p w14:paraId="215FB6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6.1.1.1  直观检查</w:t>
      </w:r>
    </w:p>
    <w:p w14:paraId="68E312EB">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配电变压器设备周围和设置配电变压器的室内</w:t>
      </w:r>
      <w:r>
        <w:rPr>
          <w:rFonts w:hint="eastAsia" w:ascii="宋体" w:hAnsi="宋体" w:cs="宋体"/>
          <w:snapToGrid w:val="0"/>
          <w:color w:val="auto"/>
          <w:kern w:val="0"/>
          <w:sz w:val="21"/>
          <w:szCs w:val="21"/>
          <w:lang w:val="en-US" w:eastAsia="zh-CN" w:bidi="ar"/>
        </w:rPr>
        <w:t>不应</w:t>
      </w:r>
      <w:r>
        <w:rPr>
          <w:rFonts w:hint="eastAsia" w:ascii="宋体" w:hAnsi="宋体" w:eastAsia="宋体" w:cs="宋体"/>
          <w:snapToGrid w:val="0"/>
          <w:color w:val="auto"/>
          <w:kern w:val="0"/>
          <w:sz w:val="21"/>
          <w:szCs w:val="21"/>
          <w:lang w:val="en-US" w:eastAsia="zh-CN" w:bidi="ar"/>
        </w:rPr>
        <w:t>存放可燃物和其他杂物。</w:t>
      </w:r>
    </w:p>
    <w:p w14:paraId="083E3CB9">
      <w:pPr>
        <w:keepNext w:val="0"/>
        <w:keepLines w:val="0"/>
        <w:widowControl/>
        <w:suppressLineNumbers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变压器室应设置防止雨、雪和蛇、鼠等小动物从采光窗、通风窗、门、电缆沟等处进入室内的设施。</w:t>
      </w:r>
    </w:p>
    <w:p w14:paraId="7E529CB8">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变压器引线接头、电缆、母线应无发热迹象。</w:t>
      </w:r>
    </w:p>
    <w:p w14:paraId="5CFFC844">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 xml:space="preserve">6.1.1.1.4  </w:t>
      </w:r>
      <w:r>
        <w:rPr>
          <w:rFonts w:hint="eastAsia" w:ascii="宋体" w:hAnsi="宋体" w:cs="宋体"/>
          <w:snapToGrid w:val="0"/>
          <w:color w:val="auto"/>
          <w:kern w:val="0"/>
          <w:sz w:val="21"/>
          <w:szCs w:val="21"/>
          <w:lang w:val="en-US" w:eastAsia="zh-CN" w:bidi="ar"/>
        </w:rPr>
        <w:t>套管油位应正常，套管外部无破损裂纹、无油污、无放电痕迹及其他异常现象。</w:t>
      </w:r>
    </w:p>
    <w:p w14:paraId="7D4FDC7C">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变压器声响均匀、正常</w:t>
      </w:r>
      <w:r>
        <w:rPr>
          <w:rFonts w:hint="eastAsia" w:ascii="宋体" w:hAnsi="宋体" w:cs="宋体"/>
          <w:snapToGrid w:val="0"/>
          <w:color w:val="auto"/>
          <w:kern w:val="0"/>
          <w:sz w:val="21"/>
          <w:szCs w:val="21"/>
          <w:lang w:val="en-US" w:eastAsia="zh-CN" w:bidi="ar"/>
        </w:rPr>
        <w:t>。</w:t>
      </w:r>
    </w:p>
    <w:p w14:paraId="57065E5E">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6.1.1.1.6</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油浸式变压器</w:t>
      </w:r>
    </w:p>
    <w:p w14:paraId="46E36A6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应符合以下要求</w:t>
      </w:r>
      <w:r>
        <w:rPr>
          <w:rFonts w:hint="eastAsia" w:ascii="宋体" w:hAnsi="宋体" w:cs="宋体"/>
          <w:snapToGrid w:val="0"/>
          <w:color w:val="auto"/>
          <w:kern w:val="0"/>
          <w:sz w:val="21"/>
          <w:szCs w:val="21"/>
          <w:lang w:val="en-US" w:eastAsia="zh-CN" w:bidi="ar"/>
        </w:rPr>
        <w:t>：</w:t>
      </w:r>
    </w:p>
    <w:p w14:paraId="5F410158">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  储油柜的油位应与温度相对应，各部位无渗油、漏油；</w:t>
      </w:r>
    </w:p>
    <w:p w14:paraId="175A5207">
      <w:pPr>
        <w:keepNext w:val="0"/>
        <w:keepLines w:val="0"/>
        <w:pageBreakBefore w:val="0"/>
        <w:widowControl/>
        <w:suppressLineNumbers w:val="0"/>
        <w:overflowPunct/>
        <w:topLinePunct w:val="0"/>
        <w:bidi w:val="0"/>
        <w:ind w:firstLine="420" w:firstLineChars="200"/>
        <w:jc w:val="left"/>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自带测温装置的变压器顶层油温</w:t>
      </w:r>
      <w:r>
        <w:rPr>
          <w:rFonts w:hint="eastAsia" w:ascii="宋体" w:hAnsi="宋体" w:cs="宋体"/>
          <w:snapToGrid w:val="0"/>
          <w:color w:val="auto"/>
          <w:kern w:val="0"/>
          <w:sz w:val="21"/>
          <w:szCs w:val="21"/>
          <w:lang w:val="en-US" w:eastAsia="zh-CN" w:bidi="ar"/>
        </w:rPr>
        <w:t>，</w:t>
      </w:r>
      <w:r>
        <w:rPr>
          <w:rFonts w:hint="eastAsia" w:ascii="宋体" w:hAnsi="宋体" w:eastAsia="宋体" w:cs="宋体"/>
          <w:color w:val="auto"/>
          <w:kern w:val="0"/>
          <w:sz w:val="21"/>
          <w:szCs w:val="18"/>
          <w:lang w:val="en-US" w:eastAsia="zh-CN" w:bidi="ar"/>
        </w:rPr>
        <w:t>不</w:t>
      </w:r>
      <w:r>
        <w:rPr>
          <w:rFonts w:hint="eastAsia" w:ascii="宋体" w:hAnsi="宋体" w:cs="宋体"/>
          <w:color w:val="auto"/>
          <w:kern w:val="0"/>
          <w:sz w:val="21"/>
          <w:szCs w:val="21"/>
          <w:lang w:val="en-US" w:eastAsia="zh-CN" w:bidi="ar"/>
        </w:rPr>
        <w:t>应</w:t>
      </w:r>
      <w:r>
        <w:rPr>
          <w:rFonts w:hint="eastAsia" w:ascii="宋体" w:hAnsi="宋体" w:eastAsia="宋体" w:cs="宋体"/>
          <w:color w:val="auto"/>
          <w:kern w:val="0"/>
          <w:sz w:val="21"/>
          <w:szCs w:val="21"/>
          <w:lang w:val="en-US" w:eastAsia="zh-CN" w:bidi="ar"/>
        </w:rPr>
        <w:t>超过</w:t>
      </w:r>
      <w:r>
        <w:rPr>
          <w:rFonts w:hint="eastAsia" w:ascii="宋体" w:hAnsi="宋体" w:cs="宋体"/>
          <w:color w:val="auto"/>
          <w:spacing w:val="20"/>
          <w:kern w:val="0"/>
          <w:sz w:val="21"/>
          <w:szCs w:val="21"/>
          <w:lang w:val="en-US" w:eastAsia="zh-CN" w:bidi="ar"/>
        </w:rPr>
        <w:t>9</w:t>
      </w:r>
      <w:r>
        <w:rPr>
          <w:rFonts w:hint="eastAsia" w:ascii="宋体" w:hAnsi="宋体" w:eastAsia="宋体" w:cs="宋体"/>
          <w:color w:val="auto"/>
          <w:spacing w:val="20"/>
          <w:kern w:val="0"/>
          <w:sz w:val="21"/>
          <w:szCs w:val="21"/>
          <w:lang w:val="en-US" w:eastAsia="zh-CN" w:bidi="ar"/>
        </w:rPr>
        <w:t>5℃</w:t>
      </w:r>
      <w:r>
        <w:rPr>
          <w:rFonts w:hint="eastAsia" w:ascii="宋体" w:hAnsi="宋体" w:eastAsia="宋体" w:cs="宋体"/>
          <w:snapToGrid w:val="0"/>
          <w:color w:val="auto"/>
          <w:kern w:val="0"/>
          <w:sz w:val="21"/>
          <w:szCs w:val="21"/>
          <w:lang w:val="en-US" w:eastAsia="zh-CN" w:bidi="ar"/>
        </w:rPr>
        <w:t>。</w:t>
      </w:r>
    </w:p>
    <w:p w14:paraId="7E83AC6A">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6.1.1.1.7</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干式变压器与非充油的高、低压配电装置相互靠近布置在配电室内时，二者的外壳</w:t>
      </w:r>
      <w:r>
        <w:rPr>
          <w:rFonts w:hint="eastAsia"/>
          <w:color w:val="auto"/>
          <w:lang w:val="en-US" w:eastAsia="zh-CN"/>
        </w:rPr>
        <w:t>防护等级</w:t>
      </w:r>
      <w:r>
        <w:rPr>
          <w:rFonts w:hint="eastAsia" w:ascii="宋体" w:hAnsi="宋体" w:eastAsia="宋体" w:cs="宋体"/>
          <w:snapToGrid w:val="0"/>
          <w:color w:val="auto"/>
          <w:kern w:val="0"/>
          <w:sz w:val="21"/>
          <w:szCs w:val="21"/>
          <w:lang w:val="en-US" w:eastAsia="zh-CN" w:bidi="ar"/>
        </w:rPr>
        <w:t>均应</w:t>
      </w:r>
      <w:r>
        <w:rPr>
          <w:rFonts w:hint="eastAsia" w:ascii="宋体" w:hAnsi="宋体" w:cs="宋体"/>
          <w:snapToGrid w:val="0"/>
          <w:color w:val="auto"/>
          <w:kern w:val="0"/>
          <w:sz w:val="21"/>
          <w:szCs w:val="21"/>
          <w:lang w:val="en-US" w:eastAsia="zh-CN" w:bidi="ar"/>
        </w:rPr>
        <w:t>不低于</w:t>
      </w:r>
      <w:r>
        <w:rPr>
          <w:rFonts w:hint="eastAsia" w:ascii="宋体" w:hAnsi="宋体" w:eastAsia="宋体" w:cs="宋体"/>
          <w:snapToGrid w:val="0"/>
          <w:color w:val="auto"/>
          <w:kern w:val="0"/>
          <w:sz w:val="21"/>
          <w:szCs w:val="21"/>
          <w:lang w:val="en-US" w:eastAsia="zh-CN" w:bidi="ar"/>
        </w:rPr>
        <w:t>IP</w:t>
      </w:r>
      <w:r>
        <w:rPr>
          <w:rFonts w:hint="eastAsia" w:ascii="宋体" w:hAnsi="宋体" w:cs="宋体"/>
          <w:snapToGrid w:val="0"/>
          <w:color w:val="auto"/>
          <w:kern w:val="0"/>
          <w:sz w:val="21"/>
          <w:szCs w:val="21"/>
          <w:lang w:val="en-US" w:eastAsia="zh-CN" w:bidi="ar"/>
        </w:rPr>
        <w:t>2</w:t>
      </w:r>
      <w:r>
        <w:rPr>
          <w:rFonts w:hint="eastAsia" w:ascii="宋体" w:hAnsi="宋体" w:eastAsia="宋体" w:cs="宋体"/>
          <w:snapToGrid w:val="0"/>
          <w:color w:val="auto"/>
          <w:kern w:val="0"/>
          <w:sz w:val="21"/>
          <w:szCs w:val="21"/>
          <w:lang w:val="en-US" w:eastAsia="zh-CN" w:bidi="ar"/>
        </w:rPr>
        <w:t>X</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防护等级</w:t>
      </w:r>
      <w:r>
        <w:rPr>
          <w:rFonts w:hint="eastAsia" w:ascii="宋体" w:hAnsi="宋体" w:cs="宋体"/>
          <w:snapToGrid w:val="0"/>
          <w:color w:val="auto"/>
          <w:kern w:val="0"/>
          <w:sz w:val="21"/>
          <w:szCs w:val="21"/>
          <w:lang w:val="en-US" w:eastAsia="zh-CN" w:bidi="ar"/>
        </w:rPr>
        <w:t>划分见附录B）</w:t>
      </w:r>
      <w:r>
        <w:rPr>
          <w:rFonts w:hint="eastAsia" w:ascii="宋体" w:hAnsi="宋体" w:eastAsia="宋体" w:cs="宋体"/>
          <w:snapToGrid w:val="0"/>
          <w:color w:val="auto"/>
          <w:kern w:val="0"/>
          <w:sz w:val="21"/>
          <w:szCs w:val="21"/>
          <w:lang w:val="en-US" w:eastAsia="zh-CN" w:bidi="ar"/>
        </w:rPr>
        <w:t>；在车间相互靠近布置时</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二者的外壳</w:t>
      </w:r>
      <w:r>
        <w:rPr>
          <w:rFonts w:hint="eastAsia"/>
          <w:color w:val="auto"/>
          <w:lang w:val="en-US" w:eastAsia="zh-CN"/>
        </w:rPr>
        <w:t>防护等级</w:t>
      </w:r>
      <w:r>
        <w:rPr>
          <w:rFonts w:hint="eastAsia" w:ascii="宋体" w:hAnsi="宋体" w:eastAsia="宋体" w:cs="宋体"/>
          <w:snapToGrid w:val="0"/>
          <w:color w:val="auto"/>
          <w:kern w:val="0"/>
          <w:sz w:val="21"/>
          <w:szCs w:val="21"/>
          <w:lang w:val="en-US" w:eastAsia="zh-CN" w:bidi="ar"/>
        </w:rPr>
        <w:t>均应</w:t>
      </w:r>
      <w:r>
        <w:rPr>
          <w:rFonts w:hint="eastAsia" w:ascii="宋体" w:hAnsi="宋体" w:cs="宋体"/>
          <w:snapToGrid w:val="0"/>
          <w:color w:val="auto"/>
          <w:kern w:val="0"/>
          <w:sz w:val="21"/>
          <w:szCs w:val="21"/>
          <w:lang w:val="en-US" w:eastAsia="zh-CN" w:bidi="ar"/>
        </w:rPr>
        <w:t>不低于</w:t>
      </w:r>
      <w:r>
        <w:rPr>
          <w:rFonts w:hint="eastAsia" w:ascii="宋体" w:hAnsi="宋体" w:eastAsia="宋体" w:cs="宋体"/>
          <w:snapToGrid w:val="0"/>
          <w:color w:val="auto"/>
          <w:kern w:val="0"/>
          <w:sz w:val="21"/>
          <w:szCs w:val="21"/>
          <w:lang w:val="en-US" w:eastAsia="zh-CN" w:bidi="ar"/>
        </w:rPr>
        <w:t>IP3X</w:t>
      </w:r>
      <w:r>
        <w:rPr>
          <w:rFonts w:hint="eastAsia" w:ascii="宋体" w:hAnsi="宋体" w:cs="宋体"/>
          <w:snapToGrid w:val="0"/>
          <w:color w:val="auto"/>
          <w:kern w:val="0"/>
          <w:sz w:val="21"/>
          <w:szCs w:val="21"/>
          <w:lang w:val="en-US" w:eastAsia="zh-CN" w:bidi="ar"/>
        </w:rPr>
        <w:t>。</w:t>
      </w:r>
    </w:p>
    <w:p w14:paraId="45F677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6.1.1.2  仪器检测</w:t>
      </w:r>
    </w:p>
    <w:p w14:paraId="0EF62EE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配电变压器室温不</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超过40℃。</w:t>
      </w:r>
    </w:p>
    <w:p w14:paraId="6F7E0A03">
      <w:pPr>
        <w:keepNext w:val="0"/>
        <w:keepLines w:val="0"/>
        <w:pageBreakBefore w:val="0"/>
        <w:widowControl/>
        <w:suppressLineNumbers w:val="0"/>
        <w:kinsoku w:val="0"/>
        <w:wordWrap/>
        <w:overflowPunct/>
        <w:topLinePunct w:val="0"/>
        <w:autoSpaceDE/>
        <w:autoSpaceDN/>
        <w:bidi w:val="0"/>
        <w:adjustRightInd w:val="0"/>
        <w:snapToGrid w:val="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干式变压器绕组浇注体的最高温度不应超过表1中规定的绕组热点温度的最高允许值。</w:t>
      </w:r>
    </w:p>
    <w:p w14:paraId="5C5A7195">
      <w:pPr>
        <w:pStyle w:val="301"/>
        <w:bidi w:val="0"/>
        <w:rPr>
          <w:rFonts w:hint="eastAsia"/>
          <w:color w:val="auto"/>
          <w:lang w:val="en-US" w:eastAsia="zh-CN"/>
        </w:rPr>
      </w:pPr>
      <w:bookmarkStart w:id="197" w:name="_Toc2699"/>
      <w:bookmarkStart w:id="198" w:name="_Toc10134"/>
      <w:bookmarkStart w:id="199" w:name="_Toc22379"/>
      <w:bookmarkStart w:id="200" w:name="_Toc4489"/>
      <w:bookmarkStart w:id="201" w:name="_Toc13113"/>
      <w:bookmarkStart w:id="202" w:name="_Toc7361"/>
      <w:bookmarkStart w:id="203" w:name="_Toc2153"/>
      <w:bookmarkStart w:id="204" w:name="_Toc17165"/>
      <w:bookmarkStart w:id="205" w:name="_Toc11007"/>
      <w:bookmarkStart w:id="206" w:name="_Toc21090"/>
      <w:r>
        <w:rPr>
          <w:rFonts w:hint="eastAsia"/>
          <w:color w:val="auto"/>
          <w:lang w:val="en-US" w:eastAsia="zh-CN"/>
        </w:rPr>
        <w:t>干式电力变压器温度限值</w:t>
      </w:r>
      <w:bookmarkEnd w:id="197"/>
      <w:bookmarkEnd w:id="198"/>
      <w:bookmarkEnd w:id="199"/>
      <w:bookmarkEnd w:id="200"/>
      <w:bookmarkEnd w:id="201"/>
      <w:bookmarkEnd w:id="202"/>
      <w:bookmarkEnd w:id="203"/>
      <w:bookmarkEnd w:id="204"/>
      <w:bookmarkEnd w:id="205"/>
      <w:bookmarkEnd w:id="206"/>
    </w:p>
    <w:tbl>
      <w:tblPr>
        <w:tblStyle w:val="88"/>
        <w:tblW w:w="9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7"/>
        <w:gridCol w:w="4595"/>
      </w:tblGrid>
      <w:tr w14:paraId="7F4A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auto" w:sz="4" w:space="0"/>
              <w:left w:val="single" w:color="auto" w:sz="4" w:space="0"/>
              <w:bottom w:val="single" w:color="auto" w:sz="4" w:space="0"/>
              <w:right w:val="single" w:color="auto" w:sz="4" w:space="0"/>
            </w:tcBorders>
            <w:shd w:val="clear" w:color="auto" w:fill="auto"/>
            <w:vAlign w:val="center"/>
          </w:tcPr>
          <w:p w14:paraId="6305641F">
            <w:pPr>
              <w:keepNext w:val="0"/>
              <w:keepLines w:val="0"/>
              <w:pageBreakBefore w:val="0"/>
              <w:widowControl/>
              <w:suppressLineNumbers w:val="0"/>
              <w:wordWrap/>
              <w:overflowPunct/>
              <w:topLinePunct w:val="0"/>
              <w:bidi w:val="0"/>
              <w:adjustRightInd w:val="0"/>
              <w:snapToGrid w:val="0"/>
              <w:jc w:val="center"/>
              <w:textAlignment w:val="top"/>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绝缘系统</w:t>
            </w:r>
            <w:r>
              <w:rPr>
                <w:rStyle w:val="529"/>
                <w:rFonts w:hint="eastAsia" w:ascii="宋体" w:hAnsi="宋体" w:cs="宋体"/>
                <w:snapToGrid w:val="0"/>
                <w:color w:val="auto"/>
                <w:sz w:val="18"/>
                <w:szCs w:val="18"/>
                <w:lang w:val="en-US" w:eastAsia="zh-CN" w:bidi="ar"/>
              </w:rPr>
              <w:t>耐热等级</w:t>
            </w:r>
          </w:p>
        </w:tc>
        <w:tc>
          <w:tcPr>
            <w:tcW w:w="4595" w:type="dxa"/>
            <w:tcBorders>
              <w:top w:val="single" w:color="auto" w:sz="4" w:space="0"/>
              <w:left w:val="single" w:color="auto" w:sz="4" w:space="0"/>
              <w:bottom w:val="single" w:color="auto" w:sz="4" w:space="0"/>
              <w:right w:val="single" w:color="auto" w:sz="4" w:space="0"/>
            </w:tcBorders>
            <w:shd w:val="clear" w:color="auto" w:fill="auto"/>
            <w:vAlign w:val="center"/>
          </w:tcPr>
          <w:p w14:paraId="6834F823">
            <w:pPr>
              <w:keepNext w:val="0"/>
              <w:keepLines w:val="0"/>
              <w:pageBreakBefore w:val="0"/>
              <w:widowControl/>
              <w:suppressLineNumbers w:val="0"/>
              <w:wordWrap/>
              <w:overflowPunct/>
              <w:topLinePunct w:val="0"/>
              <w:bidi w:val="0"/>
              <w:adjustRightInd w:val="0"/>
              <w:snapToGrid w:val="0"/>
              <w:jc w:val="center"/>
              <w:textAlignment w:val="center"/>
              <w:rPr>
                <w:rStyle w:val="529"/>
                <w:rFonts w:hint="eastAsia" w:ascii="宋体" w:hAnsi="宋体" w:eastAsia="宋体" w:cs="宋体"/>
                <w:snapToGrid w:val="0"/>
                <w:color w:val="auto"/>
                <w:sz w:val="18"/>
                <w:szCs w:val="18"/>
                <w:lang w:val="en-US" w:eastAsia="zh-CN" w:bidi="ar"/>
              </w:rPr>
            </w:pPr>
            <w:r>
              <w:rPr>
                <w:rStyle w:val="529"/>
                <w:rFonts w:hint="eastAsia" w:ascii="宋体" w:hAnsi="宋体" w:eastAsia="宋体" w:cs="宋体"/>
                <w:snapToGrid w:val="0"/>
                <w:color w:val="auto"/>
                <w:sz w:val="18"/>
                <w:szCs w:val="18"/>
                <w:lang w:val="en-US" w:eastAsia="zh-CN" w:bidi="ar"/>
              </w:rPr>
              <w:t>绕组热点温度最高允许值</w:t>
            </w:r>
          </w:p>
          <w:p w14:paraId="0FA5C85D">
            <w:pPr>
              <w:keepNext w:val="0"/>
              <w:keepLines w:val="0"/>
              <w:pageBreakBefore w:val="0"/>
              <w:widowControl/>
              <w:suppressLineNumbers w:val="0"/>
              <w:wordWrap/>
              <w:overflowPunct/>
              <w:topLinePunct w:val="0"/>
              <w:bidi w:val="0"/>
              <w:adjustRightInd w:val="0"/>
              <w:snapToGrid w:val="0"/>
              <w:jc w:val="center"/>
              <w:textAlignment w:val="center"/>
              <w:rPr>
                <w:rStyle w:val="529"/>
                <w:rFonts w:hint="eastAsia" w:ascii="宋体" w:hAnsi="宋体" w:eastAsia="宋体" w:cs="宋体"/>
                <w:snapToGrid w:val="0"/>
                <w:color w:val="auto"/>
                <w:sz w:val="18"/>
                <w:szCs w:val="18"/>
                <w:lang w:val="en-US" w:eastAsia="zh-CN" w:bidi="ar"/>
              </w:rPr>
            </w:pPr>
            <w:r>
              <w:rPr>
                <w:rStyle w:val="529"/>
                <w:rFonts w:hint="eastAsia" w:ascii="宋体" w:hAnsi="宋体" w:eastAsia="宋体" w:cs="宋体"/>
                <w:snapToGrid w:val="0"/>
                <w:color w:val="auto"/>
                <w:sz w:val="18"/>
                <w:szCs w:val="18"/>
                <w:lang w:val="en-US" w:eastAsia="zh-CN" w:bidi="ar"/>
              </w:rPr>
              <w:t>℃</w:t>
            </w:r>
          </w:p>
        </w:tc>
      </w:tr>
      <w:tr w14:paraId="3B1B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219D">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105</w:t>
            </w:r>
            <w:r>
              <w:rPr>
                <w:rStyle w:val="529"/>
                <w:rFonts w:hint="eastAsia" w:ascii="宋体" w:hAnsi="宋体" w:cs="宋体"/>
                <w:snapToGrid w:val="0"/>
                <w:color w:val="auto"/>
                <w:sz w:val="18"/>
                <w:szCs w:val="18"/>
                <w:lang w:val="en-US" w:eastAsia="zh-CN" w:bidi="ar"/>
              </w:rPr>
              <w:t>级（A）</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36DA">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130</w:t>
            </w:r>
          </w:p>
        </w:tc>
      </w:tr>
      <w:tr w14:paraId="66A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CB57">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120</w:t>
            </w:r>
            <w:r>
              <w:rPr>
                <w:rStyle w:val="529"/>
                <w:rFonts w:hint="eastAsia" w:ascii="宋体" w:hAnsi="宋体" w:cs="宋体"/>
                <w:snapToGrid w:val="0"/>
                <w:color w:val="auto"/>
                <w:sz w:val="18"/>
                <w:szCs w:val="18"/>
                <w:lang w:val="en-US" w:eastAsia="zh-CN" w:bidi="ar"/>
              </w:rPr>
              <w:t>级（E）</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8B24">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145</w:t>
            </w:r>
          </w:p>
        </w:tc>
      </w:tr>
      <w:tr w14:paraId="2AC4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49F">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130</w:t>
            </w:r>
            <w:r>
              <w:rPr>
                <w:rStyle w:val="529"/>
                <w:rFonts w:hint="eastAsia" w:ascii="宋体" w:hAnsi="宋体" w:cs="宋体"/>
                <w:snapToGrid w:val="0"/>
                <w:color w:val="auto"/>
                <w:sz w:val="18"/>
                <w:szCs w:val="18"/>
                <w:lang w:val="en-US" w:eastAsia="zh-CN" w:bidi="ar"/>
              </w:rPr>
              <w:t>级（B）</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060C">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155</w:t>
            </w:r>
          </w:p>
        </w:tc>
      </w:tr>
      <w:tr w14:paraId="4C09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EA36">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155</w:t>
            </w:r>
            <w:r>
              <w:rPr>
                <w:rStyle w:val="529"/>
                <w:rFonts w:hint="eastAsia" w:ascii="宋体" w:hAnsi="宋体" w:cs="宋体"/>
                <w:snapToGrid w:val="0"/>
                <w:color w:val="auto"/>
                <w:sz w:val="18"/>
                <w:szCs w:val="18"/>
                <w:lang w:val="en-US" w:eastAsia="zh-CN" w:bidi="ar"/>
              </w:rPr>
              <w:t>级（F）</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E033">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180</w:t>
            </w:r>
          </w:p>
        </w:tc>
      </w:tr>
      <w:tr w14:paraId="6C1A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7885">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180</w:t>
            </w:r>
            <w:r>
              <w:rPr>
                <w:rStyle w:val="529"/>
                <w:rFonts w:hint="eastAsia" w:ascii="宋体" w:hAnsi="宋体" w:cs="宋体"/>
                <w:snapToGrid w:val="0"/>
                <w:color w:val="auto"/>
                <w:sz w:val="18"/>
                <w:szCs w:val="18"/>
                <w:lang w:val="en-US" w:eastAsia="zh-CN" w:bidi="ar"/>
              </w:rPr>
              <w:t>级（H）</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7AB4">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205</w:t>
            </w:r>
          </w:p>
        </w:tc>
      </w:tr>
      <w:tr w14:paraId="04E7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AA9">
            <w:pPr>
              <w:keepNext w:val="0"/>
              <w:keepLines w:val="0"/>
              <w:pageBreakBefore w:val="0"/>
              <w:widowControl/>
              <w:suppressLineNumbers w:val="0"/>
              <w:wordWrap/>
              <w:overflowPunct/>
              <w:topLinePunct w:val="0"/>
              <w:bidi w:val="0"/>
              <w:adjustRightInd w:val="0"/>
              <w:snapToGrid w:val="0"/>
              <w:jc w:val="center"/>
              <w:textAlignment w:val="center"/>
              <w:rPr>
                <w:rStyle w:val="529"/>
                <w:rFonts w:hint="default" w:ascii="宋体" w:hAnsi="宋体" w:eastAsia="宋体" w:cs="宋体"/>
                <w:snapToGrid w:val="0"/>
                <w:color w:val="auto"/>
                <w:sz w:val="18"/>
                <w:szCs w:val="18"/>
                <w:lang w:val="en-US" w:eastAsia="zh-CN" w:bidi="ar"/>
              </w:rPr>
            </w:pPr>
            <w:r>
              <w:rPr>
                <w:rStyle w:val="529"/>
                <w:rFonts w:hint="eastAsia" w:ascii="宋体" w:hAnsi="宋体" w:cs="宋体"/>
                <w:snapToGrid w:val="0"/>
                <w:color w:val="auto"/>
                <w:sz w:val="18"/>
                <w:szCs w:val="18"/>
                <w:lang w:val="en-US" w:eastAsia="zh-CN" w:bidi="ar"/>
              </w:rPr>
              <w:t>200级（N）</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77B0">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snapToGrid w:val="0"/>
                <w:color w:val="auto"/>
                <w:kern w:val="0"/>
                <w:sz w:val="18"/>
                <w:szCs w:val="18"/>
                <w:u w:val="none"/>
                <w:lang w:val="en-US" w:eastAsia="zh-CN" w:bidi="ar"/>
              </w:rPr>
              <w:t>225</w:t>
            </w:r>
          </w:p>
        </w:tc>
      </w:tr>
      <w:tr w14:paraId="1439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C392">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220</w:t>
            </w:r>
            <w:r>
              <w:rPr>
                <w:rStyle w:val="529"/>
                <w:rFonts w:hint="eastAsia" w:ascii="宋体" w:hAnsi="宋体" w:cs="宋体"/>
                <w:snapToGrid w:val="0"/>
                <w:color w:val="auto"/>
                <w:sz w:val="18"/>
                <w:szCs w:val="18"/>
                <w:lang w:val="en-US" w:eastAsia="zh-CN" w:bidi="ar"/>
              </w:rPr>
              <w:t>级（R）</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340">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245</w:t>
            </w:r>
          </w:p>
        </w:tc>
      </w:tr>
    </w:tbl>
    <w:p w14:paraId="336DCA3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6.1.1.2.3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变压器各连接点(含端子)、引线接头、电缆终端头的温度，高压部分不应超过表2中规定的数值；低压部分不应超过表3中规定的数值。 </w:t>
      </w:r>
    </w:p>
    <w:p w14:paraId="168D7830">
      <w:pPr>
        <w:pStyle w:val="301"/>
        <w:bidi w:val="0"/>
        <w:rPr>
          <w:rFonts w:hint="eastAsia"/>
          <w:color w:val="auto"/>
          <w:lang w:val="en-US" w:eastAsia="zh-CN"/>
        </w:rPr>
      </w:pPr>
      <w:bookmarkStart w:id="207" w:name="_Toc32705"/>
      <w:bookmarkStart w:id="208" w:name="_Toc1606"/>
      <w:bookmarkStart w:id="209" w:name="_Toc12726"/>
      <w:bookmarkStart w:id="210" w:name="_Toc16692"/>
      <w:bookmarkStart w:id="211" w:name="_Toc17426"/>
      <w:bookmarkStart w:id="212" w:name="_Toc22226"/>
      <w:bookmarkStart w:id="213" w:name="_Toc25551"/>
      <w:bookmarkStart w:id="214" w:name="_Toc25709"/>
      <w:bookmarkStart w:id="215" w:name="_Toc10773"/>
      <w:bookmarkStart w:id="216" w:name="_Toc3208"/>
      <w:r>
        <w:rPr>
          <w:rFonts w:hint="eastAsia"/>
          <w:color w:val="auto"/>
          <w:lang w:val="en-US" w:eastAsia="zh-CN"/>
        </w:rPr>
        <w:t>交流高压电器触头及导体连接端子在空气中最高允许温度</w:t>
      </w:r>
      <w:bookmarkEnd w:id="207"/>
      <w:bookmarkEnd w:id="208"/>
      <w:bookmarkEnd w:id="209"/>
      <w:bookmarkEnd w:id="210"/>
      <w:bookmarkEnd w:id="211"/>
      <w:bookmarkEnd w:id="212"/>
      <w:bookmarkEnd w:id="213"/>
      <w:bookmarkEnd w:id="214"/>
      <w:bookmarkEnd w:id="215"/>
      <w:bookmarkEnd w:id="216"/>
    </w:p>
    <w:tbl>
      <w:tblPr>
        <w:tblStyle w:val="88"/>
        <w:tblW w:w="95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1"/>
        <w:gridCol w:w="3176"/>
        <w:gridCol w:w="3172"/>
      </w:tblGrid>
      <w:tr w14:paraId="7C44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AC59">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部       位</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894">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最高允许温度</w:t>
            </w:r>
          </w:p>
          <w:p w14:paraId="394F85BF">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w:t>
            </w:r>
          </w:p>
        </w:tc>
      </w:tr>
      <w:tr w14:paraId="54A3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8818">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触头</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14DD">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裸铜、裸铜合金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01EA">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75</w:t>
            </w:r>
          </w:p>
        </w:tc>
      </w:tr>
      <w:tr w14:paraId="357A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92E1">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68A">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镀锡</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9BE">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90</w:t>
            </w:r>
          </w:p>
        </w:tc>
      </w:tr>
      <w:tr w14:paraId="527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F9F3">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7F8">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71D9">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115</w:t>
            </w:r>
          </w:p>
        </w:tc>
      </w:tr>
      <w:tr w14:paraId="3778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restart"/>
            <w:tcBorders>
              <w:top w:val="single" w:color="000000" w:sz="4" w:space="0"/>
              <w:left w:val="single" w:color="000000" w:sz="4" w:space="0"/>
              <w:right w:val="single" w:color="000000" w:sz="4" w:space="0"/>
            </w:tcBorders>
            <w:shd w:val="clear" w:color="auto" w:fill="auto"/>
            <w:vAlign w:val="center"/>
          </w:tcPr>
          <w:p w14:paraId="6D1F9471">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导体连接的接合部分</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DA8C">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裸铜、裸铜合金、裸铝合金</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1C4">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100</w:t>
            </w:r>
          </w:p>
        </w:tc>
      </w:tr>
      <w:tr w14:paraId="10E4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continue"/>
            <w:tcBorders>
              <w:left w:val="single" w:color="000000" w:sz="4" w:space="0"/>
              <w:right w:val="single" w:color="000000" w:sz="4" w:space="0"/>
            </w:tcBorders>
            <w:shd w:val="clear" w:color="auto" w:fill="auto"/>
            <w:vAlign w:val="center"/>
          </w:tcPr>
          <w:p w14:paraId="113EA36C">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174">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FA1">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115</w:t>
            </w:r>
          </w:p>
        </w:tc>
      </w:tr>
      <w:tr w14:paraId="0EBA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continue"/>
            <w:tcBorders>
              <w:left w:val="single" w:color="000000" w:sz="4" w:space="0"/>
              <w:bottom w:val="single" w:color="auto" w:sz="4" w:space="0"/>
              <w:right w:val="single" w:color="000000" w:sz="4" w:space="0"/>
            </w:tcBorders>
            <w:shd w:val="clear" w:color="auto" w:fill="auto"/>
            <w:vAlign w:val="center"/>
          </w:tcPr>
          <w:p w14:paraId="2CE09C23">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31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A4015E">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镀锡</w:t>
            </w:r>
          </w:p>
        </w:tc>
        <w:tc>
          <w:tcPr>
            <w:tcW w:w="31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52E00B">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14:paraId="5A30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61C07C">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与外部导体连接的端子</w:t>
            </w:r>
          </w:p>
        </w:tc>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9BF8F56">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C33F342">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100</w:t>
            </w:r>
          </w:p>
        </w:tc>
      </w:tr>
      <w:tr w14:paraId="2526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7F17B">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C79EE2B">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镀锡</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A57FD48">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115</w:t>
            </w:r>
          </w:p>
        </w:tc>
      </w:tr>
    </w:tbl>
    <w:p w14:paraId="5FE9AE65">
      <w:pPr>
        <w:pStyle w:val="301"/>
        <w:bidi w:val="0"/>
        <w:rPr>
          <w:rFonts w:hint="eastAsia"/>
          <w:color w:val="auto"/>
          <w:lang w:val="en-US" w:eastAsia="zh-CN"/>
        </w:rPr>
      </w:pPr>
      <w:bookmarkStart w:id="217" w:name="_Toc29568"/>
      <w:bookmarkStart w:id="218" w:name="_Toc32301"/>
      <w:bookmarkStart w:id="219" w:name="_Toc24917"/>
      <w:bookmarkStart w:id="220" w:name="_Toc19244"/>
      <w:bookmarkStart w:id="221" w:name="_Toc20980"/>
      <w:bookmarkStart w:id="222" w:name="_Toc24762"/>
      <w:bookmarkStart w:id="223" w:name="_Toc16426"/>
      <w:bookmarkStart w:id="224" w:name="_Toc10701"/>
      <w:bookmarkStart w:id="225" w:name="_Toc19645"/>
      <w:bookmarkStart w:id="226" w:name="_Toc10472"/>
      <w:r>
        <w:rPr>
          <w:rFonts w:hint="eastAsia"/>
          <w:color w:val="auto"/>
          <w:lang w:val="en-US" w:eastAsia="zh-CN"/>
        </w:rPr>
        <w:t>低压电器与外部连接的接线端子的允许温升</w:t>
      </w:r>
      <w:bookmarkEnd w:id="217"/>
      <w:bookmarkEnd w:id="218"/>
      <w:bookmarkEnd w:id="219"/>
      <w:bookmarkEnd w:id="220"/>
      <w:bookmarkEnd w:id="221"/>
      <w:bookmarkEnd w:id="222"/>
      <w:bookmarkEnd w:id="223"/>
      <w:bookmarkEnd w:id="224"/>
      <w:bookmarkEnd w:id="225"/>
      <w:bookmarkEnd w:id="226"/>
    </w:p>
    <w:tbl>
      <w:tblPr>
        <w:tblStyle w:val="88"/>
        <w:tblW w:w="95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2"/>
        <w:gridCol w:w="4787"/>
      </w:tblGrid>
      <w:tr w14:paraId="4FD7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E19">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接线端子材料</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top"/>
          </w:tcPr>
          <w:p w14:paraId="0B1CA7D1">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周围空气温度不超过40℃的允许温升</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w:t>
            </w:r>
          </w:p>
        </w:tc>
      </w:tr>
      <w:tr w14:paraId="45BA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5CCD">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裸铜</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C9C">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60</w:t>
            </w:r>
          </w:p>
        </w:tc>
      </w:tr>
      <w:tr w14:paraId="5E44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F04">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裸黄铜</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101">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65</w:t>
            </w:r>
          </w:p>
        </w:tc>
      </w:tr>
      <w:tr w14:paraId="54C2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F47">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铜(黄铜)镀锡</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200">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65</w:t>
            </w:r>
          </w:p>
        </w:tc>
      </w:tr>
      <w:tr w14:paraId="4318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301">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铜(黄铜)镀银或镀镍</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6ED">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70</w:t>
            </w:r>
          </w:p>
        </w:tc>
      </w:tr>
    </w:tbl>
    <w:p w14:paraId="1259AE6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snapToGrid w:val="0"/>
          <w:color w:val="auto"/>
          <w:kern w:val="0"/>
          <w:sz w:val="21"/>
          <w:szCs w:val="21"/>
          <w:lang w:val="en-US" w:eastAsia="zh-CN" w:bidi="ar"/>
        </w:rPr>
      </w:pPr>
      <w:bookmarkStart w:id="227" w:name="_Toc3460"/>
      <w:r>
        <w:rPr>
          <w:rFonts w:hint="eastAsia" w:ascii="黑体" w:hAnsi="黑体" w:eastAsia="黑体" w:cs="黑体"/>
          <w:color w:val="auto"/>
          <w:spacing w:val="11"/>
          <w:sz w:val="21"/>
          <w:szCs w:val="21"/>
          <w:lang w:val="en-US" w:eastAsia="zh-CN"/>
        </w:rPr>
        <w:t>6.1.2  高压配电装置</w:t>
      </w:r>
      <w:bookmarkEnd w:id="227"/>
    </w:p>
    <w:p w14:paraId="5B90EB4E">
      <w:pPr>
        <w:keepNext w:val="0"/>
        <w:keepLines w:val="0"/>
        <w:widowControl/>
        <w:suppressLineNumbers w:val="0"/>
        <w:jc w:val="left"/>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 xml:space="preserve">6.1.2.1  高压开关和断路器 </w:t>
      </w:r>
    </w:p>
    <w:p w14:paraId="3D61A4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6.1.2.1.1  直观检查</w:t>
      </w:r>
    </w:p>
    <w:p w14:paraId="2654EC90">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高压开关和断路器应符合下列要求</w:t>
      </w:r>
      <w:r>
        <w:rPr>
          <w:rFonts w:hint="eastAsia" w:ascii="宋体" w:hAnsi="宋体" w:cs="宋体"/>
          <w:snapToGrid w:val="0"/>
          <w:color w:val="auto"/>
          <w:kern w:val="0"/>
          <w:sz w:val="21"/>
          <w:szCs w:val="21"/>
          <w:lang w:val="en-US" w:eastAsia="zh-CN" w:bidi="ar"/>
        </w:rPr>
        <w:t>：</w:t>
      </w:r>
    </w:p>
    <w:p w14:paraId="179998EF">
      <w:pPr>
        <w:keepNext w:val="0"/>
        <w:keepLines w:val="0"/>
        <w:pageBreakBefore w:val="0"/>
        <w:widowControl/>
        <w:numPr>
          <w:ilvl w:val="0"/>
          <w:numId w:val="32"/>
        </w:numPr>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 真空断路器应固定牢靠，外观应清洁</w:t>
      </w:r>
      <w:r>
        <w:rPr>
          <w:rFonts w:hint="eastAsia" w:ascii="宋体" w:hAnsi="宋体" w:cs="宋体"/>
          <w:snapToGrid w:val="0"/>
          <w:color w:val="auto"/>
          <w:kern w:val="0"/>
          <w:sz w:val="21"/>
          <w:szCs w:val="21"/>
          <w:lang w:val="en-US" w:eastAsia="zh-CN" w:bidi="ar"/>
        </w:rPr>
        <w:t>；</w:t>
      </w:r>
    </w:p>
    <w:p w14:paraId="3246CEA4">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电气连接应可靠且接触良好</w:t>
      </w:r>
      <w:r>
        <w:rPr>
          <w:rFonts w:hint="eastAsia" w:ascii="宋体" w:hAnsi="宋体" w:cs="宋体"/>
          <w:snapToGrid w:val="0"/>
          <w:color w:val="auto"/>
          <w:kern w:val="0"/>
          <w:sz w:val="21"/>
          <w:szCs w:val="21"/>
          <w:lang w:val="en-US" w:eastAsia="zh-CN" w:bidi="ar"/>
        </w:rPr>
        <w:t>；</w:t>
      </w:r>
    </w:p>
    <w:p w14:paraId="451CEEB0">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绝缘部件、瓷件应完好无损。</w:t>
      </w:r>
    </w:p>
    <w:p w14:paraId="14D170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6.1.2.1.2  仪器检测</w:t>
      </w:r>
    </w:p>
    <w:p w14:paraId="7978D820">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测量高压开关和断路器母线连接点、接线端子的温度</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隔离开关、负荷开关设备触头、电缆终端头的温度不应超过表2中规定的数值。</w:t>
      </w:r>
    </w:p>
    <w:p w14:paraId="5EC5B9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6.1.2.2  高压熔断器</w:t>
      </w:r>
    </w:p>
    <w:p w14:paraId="2DC9BC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6.1.2.2.1  直观检查</w:t>
      </w:r>
    </w:p>
    <w:p w14:paraId="2D025C8F">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高压熔断器应符合下列要求</w:t>
      </w:r>
      <w:r>
        <w:rPr>
          <w:rFonts w:hint="eastAsia" w:ascii="宋体" w:hAnsi="宋体" w:cs="宋体"/>
          <w:snapToGrid w:val="0"/>
          <w:color w:val="auto"/>
          <w:kern w:val="0"/>
          <w:sz w:val="21"/>
          <w:szCs w:val="21"/>
          <w:lang w:val="en-US" w:eastAsia="zh-CN" w:bidi="ar"/>
        </w:rPr>
        <w:t>：</w:t>
      </w:r>
    </w:p>
    <w:p w14:paraId="24A52AAB">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跌落式熔断器熔管的有机绝缘物应无裂纹、变形</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70E4E5A5">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熔丝的规格应符合设计要求，且无弯曲、压扁或损伤，熔体与尾线应压接紧密牢固；</w:t>
      </w:r>
      <w:r>
        <w:rPr>
          <w:rFonts w:hint="eastAsia" w:ascii="宋体" w:hAnsi="宋体" w:eastAsia="宋体" w:cs="宋体"/>
          <w:snapToGrid w:val="0"/>
          <w:color w:val="auto"/>
          <w:kern w:val="0"/>
          <w:sz w:val="21"/>
          <w:szCs w:val="21"/>
          <w:lang w:val="en-US" w:eastAsia="zh-CN" w:bidi="ar"/>
        </w:rPr>
        <w:t xml:space="preserve"> </w:t>
      </w:r>
    </w:p>
    <w:p w14:paraId="5B8A4C5F">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在使用过程中熔断器的保护级别应符合原设计的要求，不得降低保护级别</w:t>
      </w:r>
      <w:r>
        <w:rPr>
          <w:rFonts w:hint="eastAsia" w:ascii="宋体" w:hAnsi="宋体" w:cs="宋体"/>
          <w:snapToGrid w:val="0"/>
          <w:color w:val="auto"/>
          <w:kern w:val="0"/>
          <w:sz w:val="21"/>
          <w:szCs w:val="21"/>
          <w:lang w:val="en-US" w:eastAsia="zh-CN" w:bidi="ar"/>
        </w:rPr>
        <w:t>。</w:t>
      </w:r>
    </w:p>
    <w:p w14:paraId="3912B0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snapToGrid w:val="0"/>
          <w:color w:val="auto"/>
          <w:kern w:val="0"/>
          <w:sz w:val="21"/>
          <w:szCs w:val="21"/>
          <w:lang w:val="en-US" w:eastAsia="zh-CN" w:bidi="ar"/>
        </w:rPr>
        <w:t>6.1.2.2.2  仪器检测</w:t>
      </w:r>
    </w:p>
    <w:p w14:paraId="65C14CBC">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val="0"/>
        <w:snapToGrid w:val="0"/>
        <w:spacing w:before="0" w:beforeAutospacing="0" w:after="0" w:afterAutospacing="0" w:line="240" w:lineRule="auto"/>
        <w:ind w:right="0"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测量高压熔断器各连接点、接线端子、动静触头的温度不应超过表2中规定的数值</w:t>
      </w:r>
      <w:r>
        <w:rPr>
          <w:rFonts w:hint="eastAsia" w:ascii="宋体" w:hAnsi="宋体" w:cs="宋体"/>
          <w:snapToGrid w:val="0"/>
          <w:color w:val="auto"/>
          <w:kern w:val="0"/>
          <w:sz w:val="21"/>
          <w:szCs w:val="21"/>
          <w:lang w:val="en-US" w:eastAsia="zh-CN" w:bidi="ar"/>
        </w:rPr>
        <w:t>。</w:t>
      </w:r>
    </w:p>
    <w:p w14:paraId="7B4CE1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6.1.2.3  电压互感器和电流互感器</w:t>
      </w:r>
    </w:p>
    <w:p w14:paraId="38153E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6.1.2.3.1  直观检查</w:t>
      </w:r>
    </w:p>
    <w:p w14:paraId="132205E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lang w:val="en-US"/>
        </w:rPr>
      </w:pPr>
      <w:r>
        <w:rPr>
          <w:rFonts w:hint="eastAsia" w:ascii="宋体" w:hAnsi="宋体" w:eastAsia="宋体" w:cs="宋体"/>
          <w:snapToGrid w:val="0"/>
          <w:color w:val="auto"/>
          <w:kern w:val="0"/>
          <w:sz w:val="21"/>
          <w:szCs w:val="21"/>
          <w:lang w:val="en-US" w:eastAsia="zh-CN" w:bidi="ar"/>
        </w:rPr>
        <w:t>电压互感器和电流互感器应符合下列要求</w:t>
      </w:r>
      <w:r>
        <w:rPr>
          <w:rFonts w:hint="eastAsia" w:ascii="宋体" w:hAnsi="宋体" w:cs="宋体"/>
          <w:snapToGrid w:val="0"/>
          <w:color w:val="auto"/>
          <w:kern w:val="0"/>
          <w:sz w:val="21"/>
          <w:szCs w:val="21"/>
          <w:lang w:val="en-US" w:eastAsia="zh-CN" w:bidi="ar"/>
        </w:rPr>
        <w:t>：</w:t>
      </w:r>
    </w:p>
    <w:p w14:paraId="0EC56F82">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设备外观应完整无缺损</w:t>
      </w:r>
      <w:r>
        <w:rPr>
          <w:rFonts w:hint="eastAsia" w:ascii="宋体" w:hAnsi="宋体" w:cs="宋体"/>
          <w:snapToGrid w:val="0"/>
          <w:color w:val="auto"/>
          <w:kern w:val="0"/>
          <w:sz w:val="21"/>
          <w:szCs w:val="21"/>
          <w:lang w:val="en-US" w:eastAsia="zh-CN" w:bidi="ar"/>
        </w:rPr>
        <w:t>；</w:t>
      </w:r>
    </w:p>
    <w:p w14:paraId="1DFAD50F">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互感器应无渗漏，油位、气压、密度应</w:t>
      </w:r>
      <w:r>
        <w:rPr>
          <w:rFonts w:hint="eastAsia" w:ascii="宋体" w:hAnsi="宋体" w:cs="宋体"/>
          <w:snapToGrid w:val="0"/>
          <w:color w:val="auto"/>
          <w:kern w:val="0"/>
          <w:sz w:val="21"/>
          <w:szCs w:val="21"/>
          <w:lang w:val="en-US" w:eastAsia="zh-CN" w:bidi="ar"/>
        </w:rPr>
        <w:t>正常；</w:t>
      </w:r>
    </w:p>
    <w:p w14:paraId="2C773DC7">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电压互感器和电流互感器的下列各部位应可靠接地：</w:t>
      </w:r>
    </w:p>
    <w:p w14:paraId="1F0A5C7A">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1</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分级绝缘的电压互感器，其一次绕组的接地引出端子； </w:t>
      </w:r>
    </w:p>
    <w:p w14:paraId="3D3EEAE3">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2</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电容型绝缘的电流互感器，其一次绕组末屏的引出端子、铁芯引出的接地端子； </w:t>
      </w:r>
    </w:p>
    <w:p w14:paraId="49388E26">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3</w:t>
      </w:r>
      <w:r>
        <w:rPr>
          <w:rFonts w:hint="eastAsia" w:ascii="宋体" w:hAnsi="宋体" w:cs="宋体"/>
          <w:snapToGrid w:val="0"/>
          <w:color w:val="auto"/>
          <w:kern w:val="0"/>
          <w:sz w:val="21"/>
          <w:szCs w:val="21"/>
          <w:lang w:val="en-US" w:eastAsia="zh-CN" w:bidi="ar"/>
        </w:rPr>
        <w:t>)  互感器的外壳；</w:t>
      </w:r>
    </w:p>
    <w:p w14:paraId="7A5068F2">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倒装式电流互感器二次绕组的金属导管。 </w:t>
      </w:r>
    </w:p>
    <w:p w14:paraId="5B0213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6.1.2.3.2  仪器检测</w:t>
      </w:r>
    </w:p>
    <w:p w14:paraId="0C7678AA">
      <w:pPr>
        <w:keepNext w:val="0"/>
        <w:keepLines w:val="0"/>
        <w:pageBreakBefore w:val="0"/>
        <w:widowControl/>
        <w:suppressLineNumbers w:val="0"/>
        <w:kinsoku w:val="0"/>
        <w:wordWrap/>
        <w:overflowPunct/>
        <w:topLinePunct w:val="0"/>
        <w:autoSpaceDE/>
        <w:autoSpaceDN/>
        <w:bidi w:val="0"/>
        <w:adjustRightInd w:val="0"/>
        <w:snapToGrid w:val="0"/>
        <w:spacing w:before="0" w:after="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测量电压、电流互感器各连接点、接线端子的温度不应超过表2中规定的数值</w:t>
      </w:r>
      <w:r>
        <w:rPr>
          <w:rFonts w:hint="eastAsia" w:ascii="宋体" w:hAnsi="宋体" w:cs="宋体"/>
          <w:snapToGrid w:val="0"/>
          <w:color w:val="auto"/>
          <w:kern w:val="0"/>
          <w:sz w:val="21"/>
          <w:szCs w:val="21"/>
          <w:lang w:val="en-US" w:eastAsia="zh-CN" w:bidi="ar"/>
        </w:rPr>
        <w:t>。</w:t>
      </w:r>
    </w:p>
    <w:p w14:paraId="388107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6.1.2.4  高压电容器</w:t>
      </w:r>
    </w:p>
    <w:p w14:paraId="118E64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6.1.2.4.1  直观检查</w:t>
      </w:r>
    </w:p>
    <w:p w14:paraId="4D69B2BD">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高压电容器应符合下列要求</w:t>
      </w:r>
      <w:r>
        <w:rPr>
          <w:rFonts w:hint="eastAsia" w:ascii="宋体" w:hAnsi="宋体" w:cs="宋体"/>
          <w:snapToGrid w:val="0"/>
          <w:color w:val="auto"/>
          <w:kern w:val="0"/>
          <w:sz w:val="21"/>
          <w:szCs w:val="21"/>
          <w:lang w:val="en-US" w:eastAsia="zh-CN" w:bidi="ar"/>
        </w:rPr>
        <w:t>：</w:t>
      </w:r>
    </w:p>
    <w:p w14:paraId="6387C3B9">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配电房</w:t>
      </w:r>
      <w:r>
        <w:rPr>
          <w:rFonts w:hint="eastAsia" w:ascii="宋体" w:hAnsi="宋体" w:eastAsia="宋体" w:cs="宋体"/>
          <w:snapToGrid w:val="0"/>
          <w:color w:val="auto"/>
          <w:kern w:val="0"/>
          <w:sz w:val="21"/>
          <w:szCs w:val="21"/>
          <w:lang w:val="en-US" w:eastAsia="zh-CN" w:bidi="ar"/>
        </w:rPr>
        <w:t>设置高压电容器时，应采用难燃介质的电容器</w:t>
      </w:r>
      <w:r>
        <w:rPr>
          <w:rFonts w:hint="eastAsia" w:ascii="宋体" w:hAnsi="宋体" w:cs="宋体"/>
          <w:snapToGrid w:val="0"/>
          <w:color w:val="auto"/>
          <w:kern w:val="0"/>
          <w:sz w:val="21"/>
          <w:szCs w:val="21"/>
          <w:lang w:val="en-US" w:eastAsia="zh-CN" w:bidi="ar"/>
        </w:rPr>
        <w:t>；</w:t>
      </w:r>
    </w:p>
    <w:p w14:paraId="124BC53B">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2"/>
          <w:szCs w:val="22"/>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电容器的额定电压与电力网的标称电压相同时，应将电容器的外壳和支架接地</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5E861853">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高压电容器组应直接与放电装置可靠连接，中间不应设置开关或熔断器</w:t>
      </w:r>
      <w:r>
        <w:rPr>
          <w:rFonts w:hint="eastAsia" w:ascii="宋体" w:hAnsi="宋体" w:cs="宋体"/>
          <w:snapToGrid w:val="0"/>
          <w:color w:val="auto"/>
          <w:kern w:val="0"/>
          <w:sz w:val="21"/>
          <w:szCs w:val="21"/>
          <w:lang w:val="en-US" w:eastAsia="zh-CN" w:bidi="ar"/>
        </w:rPr>
        <w:t>；</w:t>
      </w:r>
    </w:p>
    <w:p w14:paraId="755C7DAB">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外壳应无凹凸或渗油现象，引出线端子连接应牢固，垫圈、螺母应齐全</w:t>
      </w:r>
      <w:r>
        <w:rPr>
          <w:rFonts w:hint="eastAsia" w:ascii="宋体" w:hAnsi="宋体" w:cs="宋体"/>
          <w:snapToGrid w:val="0"/>
          <w:color w:val="auto"/>
          <w:kern w:val="0"/>
          <w:sz w:val="21"/>
          <w:szCs w:val="21"/>
          <w:lang w:val="en-US" w:eastAsia="zh-CN" w:bidi="ar"/>
        </w:rPr>
        <w:t>；</w:t>
      </w:r>
    </w:p>
    <w:p w14:paraId="2087BD0D">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放电线圈瓷套应无损伤</w:t>
      </w:r>
      <w:r>
        <w:rPr>
          <w:rFonts w:hint="eastAsia" w:ascii="宋体" w:hAnsi="宋体" w:cs="宋体"/>
          <w:snapToGrid w:val="0"/>
          <w:color w:val="auto"/>
          <w:kern w:val="0"/>
          <w:sz w:val="21"/>
          <w:szCs w:val="21"/>
          <w:lang w:val="en-US" w:eastAsia="zh-CN" w:bidi="ar"/>
        </w:rPr>
        <w:t>，放电回路应完整；</w:t>
      </w:r>
      <w:r>
        <w:rPr>
          <w:rFonts w:hint="eastAsia" w:ascii="宋体" w:hAnsi="宋体" w:eastAsia="宋体" w:cs="宋体"/>
          <w:snapToGrid w:val="0"/>
          <w:color w:val="auto"/>
          <w:kern w:val="0"/>
          <w:sz w:val="21"/>
          <w:szCs w:val="21"/>
          <w:lang w:val="en-US" w:eastAsia="zh-CN" w:bidi="ar"/>
        </w:rPr>
        <w:t xml:space="preserve">  </w:t>
      </w:r>
    </w:p>
    <w:p w14:paraId="1869EF1C">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f)  </w:t>
      </w:r>
      <w:r>
        <w:rPr>
          <w:rFonts w:hint="eastAsia" w:ascii="宋体" w:hAnsi="宋体" w:eastAsia="宋体" w:cs="宋体"/>
          <w:snapToGrid w:val="0"/>
          <w:color w:val="auto"/>
          <w:kern w:val="0"/>
          <w:sz w:val="21"/>
          <w:szCs w:val="21"/>
          <w:lang w:val="en-US" w:eastAsia="zh-CN" w:bidi="ar"/>
        </w:rPr>
        <w:t>电容器外壳及支架的接地应可靠、防腐完好</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596A1E41">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g)  </w:t>
      </w:r>
      <w:r>
        <w:rPr>
          <w:rFonts w:hint="eastAsia" w:ascii="宋体" w:hAnsi="宋体" w:eastAsia="宋体" w:cs="宋体"/>
          <w:snapToGrid w:val="0"/>
          <w:color w:val="auto"/>
          <w:kern w:val="0"/>
          <w:sz w:val="21"/>
          <w:szCs w:val="21"/>
          <w:lang w:val="en-US" w:eastAsia="zh-CN" w:bidi="ar"/>
        </w:rPr>
        <w:t>支持瓷瓶外表清洁，完好无破损</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098FF1F1">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h)  </w:t>
      </w:r>
      <w:r>
        <w:rPr>
          <w:rFonts w:hint="eastAsia" w:ascii="宋体" w:hAnsi="宋体" w:eastAsia="宋体" w:cs="宋体"/>
          <w:snapToGrid w:val="0"/>
          <w:color w:val="auto"/>
          <w:kern w:val="0"/>
          <w:sz w:val="21"/>
          <w:szCs w:val="21"/>
          <w:lang w:val="en-US" w:eastAsia="zh-CN" w:bidi="ar"/>
        </w:rPr>
        <w:t>电容器室内的通风装置应良好</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76A08E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6.1.2.4.2  仪器检测</w:t>
      </w:r>
    </w:p>
    <w:p w14:paraId="3FBD7B83">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高压电容器应符合下列要求</w:t>
      </w:r>
      <w:r>
        <w:rPr>
          <w:rFonts w:hint="eastAsia" w:ascii="宋体" w:hAnsi="宋体" w:cs="宋体"/>
          <w:snapToGrid w:val="0"/>
          <w:color w:val="auto"/>
          <w:kern w:val="0"/>
          <w:sz w:val="21"/>
          <w:szCs w:val="21"/>
          <w:lang w:val="en-US" w:eastAsia="zh-CN" w:bidi="ar"/>
        </w:rPr>
        <w:t>：</w:t>
      </w:r>
    </w:p>
    <w:p w14:paraId="4F6A4EE3">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连接点、接线端子的温度不应超过表2中规定的数值</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307B05AD">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电容器连续运行电流不应超过1.3倍额定电流</w:t>
      </w:r>
      <w:r>
        <w:rPr>
          <w:rFonts w:hint="eastAsia" w:ascii="宋体" w:hAnsi="宋体" w:cs="宋体"/>
          <w:snapToGrid w:val="0"/>
          <w:color w:val="auto"/>
          <w:kern w:val="0"/>
          <w:sz w:val="21"/>
          <w:szCs w:val="21"/>
          <w:lang w:val="en-US" w:eastAsia="zh-CN" w:bidi="ar"/>
        </w:rPr>
        <w:t>。</w:t>
      </w:r>
    </w:p>
    <w:p w14:paraId="3446721C">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11"/>
          <w:sz w:val="21"/>
          <w:szCs w:val="21"/>
          <w:lang w:val="en-US" w:eastAsia="zh-CN"/>
        </w:rPr>
      </w:pPr>
      <w:bookmarkStart w:id="228" w:name="_Toc27056"/>
      <w:bookmarkStart w:id="229" w:name="_Toc999"/>
      <w:bookmarkStart w:id="230" w:name="_Toc18533"/>
      <w:bookmarkStart w:id="231" w:name="_Toc19433"/>
      <w:bookmarkStart w:id="232" w:name="_Toc27036"/>
      <w:bookmarkStart w:id="233" w:name="_Toc11616"/>
      <w:bookmarkStart w:id="234" w:name="_Toc10119"/>
      <w:bookmarkStart w:id="235" w:name="_Toc7762"/>
      <w:bookmarkStart w:id="236" w:name="_Toc9507"/>
      <w:bookmarkStart w:id="237" w:name="_Toc15091"/>
      <w:bookmarkStart w:id="238" w:name="_Toc16091"/>
      <w:bookmarkStart w:id="239" w:name="_Toc32278"/>
      <w:bookmarkStart w:id="240" w:name="_Toc9568"/>
      <w:bookmarkStart w:id="241" w:name="_Toc22841"/>
      <w:bookmarkStart w:id="242" w:name="_Toc12379"/>
      <w:bookmarkStart w:id="243" w:name="_Toc23196"/>
      <w:bookmarkStart w:id="244" w:name="_Toc19488"/>
      <w:bookmarkStart w:id="245" w:name="_Toc26941"/>
      <w:bookmarkStart w:id="246" w:name="_Toc841"/>
      <w:bookmarkStart w:id="247" w:name="_Toc32532"/>
      <w:bookmarkStart w:id="248" w:name="_Toc19126"/>
      <w:bookmarkStart w:id="249" w:name="_Toc1872"/>
      <w:bookmarkStart w:id="250" w:name="_Toc1272"/>
      <w:bookmarkStart w:id="251" w:name="_Toc17497"/>
      <w:r>
        <w:rPr>
          <w:rFonts w:hint="eastAsia" w:ascii="黑体" w:hAnsi="黑体" w:eastAsia="黑体" w:cs="黑体"/>
          <w:snapToGrid w:val="0"/>
          <w:color w:val="auto"/>
          <w:kern w:val="0"/>
          <w:sz w:val="21"/>
          <w:szCs w:val="21"/>
          <w:lang w:val="en-US" w:eastAsia="zh-CN" w:bidi="ar"/>
        </w:rPr>
        <w:t xml:space="preserve">6.2  </w:t>
      </w:r>
      <w:r>
        <w:rPr>
          <w:rFonts w:hint="eastAsia" w:ascii="黑体" w:hAnsi="黑体" w:eastAsia="黑体" w:cs="黑体"/>
          <w:color w:val="auto"/>
          <w:spacing w:val="11"/>
          <w:sz w:val="21"/>
          <w:szCs w:val="21"/>
          <w:lang w:val="en-US" w:eastAsia="zh-CN"/>
        </w:rPr>
        <w:t>低压电器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9910876">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52" w:name="_Toc4179"/>
      <w:r>
        <w:rPr>
          <w:rFonts w:hint="eastAsia" w:ascii="黑体" w:hAnsi="黑体" w:eastAsia="黑体" w:cs="黑体"/>
          <w:color w:val="auto"/>
          <w:spacing w:val="11"/>
          <w:sz w:val="21"/>
          <w:szCs w:val="21"/>
          <w:lang w:val="en-US" w:eastAsia="zh-CN"/>
        </w:rPr>
        <w:t>6.2.1  低压配电和控制电器</w:t>
      </w:r>
      <w:bookmarkEnd w:id="252"/>
    </w:p>
    <w:p w14:paraId="4962F180">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6.2.1.1  直观检查</w:t>
      </w:r>
    </w:p>
    <w:p w14:paraId="778F6CC9">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6.2.1.1.1</w:t>
      </w:r>
      <w:r>
        <w:rPr>
          <w:rFonts w:hint="eastAsia" w:ascii="宋体" w:hAnsi="宋体" w:eastAsia="宋体" w:cs="宋体"/>
          <w:snapToGrid w:val="0"/>
          <w:color w:val="auto"/>
          <w:kern w:val="0"/>
          <w:sz w:val="21"/>
          <w:szCs w:val="21"/>
          <w:lang w:val="en-US" w:eastAsia="zh-CN" w:bidi="ar"/>
        </w:rPr>
        <w:t xml:space="preserve">  低压配电与控制电器的外部接线</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应符合以下要求</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48F40188">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导线绝缘应良好、无损伤</w:t>
      </w:r>
      <w:r>
        <w:rPr>
          <w:rFonts w:hint="eastAsia" w:ascii="宋体" w:hAnsi="宋体" w:cs="宋体"/>
          <w:snapToGrid w:val="0"/>
          <w:color w:val="auto"/>
          <w:kern w:val="0"/>
          <w:sz w:val="21"/>
          <w:szCs w:val="21"/>
          <w:lang w:val="en-US" w:eastAsia="zh-CN" w:bidi="ar"/>
        </w:rPr>
        <w:t>；</w:t>
      </w:r>
    </w:p>
    <w:p w14:paraId="7A2F3506">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电源侧进线应接在进线端，负荷侧出线应接在出线端</w:t>
      </w:r>
      <w:r>
        <w:rPr>
          <w:rFonts w:hint="eastAsia" w:ascii="宋体" w:hAnsi="宋体" w:cs="宋体"/>
          <w:snapToGrid w:val="0"/>
          <w:color w:val="auto"/>
          <w:kern w:val="0"/>
          <w:sz w:val="21"/>
          <w:szCs w:val="21"/>
          <w:lang w:val="en-US" w:eastAsia="zh-CN" w:bidi="ar"/>
        </w:rPr>
        <w:t>；</w:t>
      </w:r>
    </w:p>
    <w:p w14:paraId="69ED79F0">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接线应采用有金属防</w:t>
      </w:r>
      <w:r>
        <w:rPr>
          <w:rFonts w:hint="eastAsia" w:ascii="宋体" w:hAnsi="宋体" w:cs="宋体"/>
          <w:snapToGrid w:val="0"/>
          <w:color w:val="auto"/>
          <w:kern w:val="0"/>
          <w:sz w:val="21"/>
          <w:szCs w:val="21"/>
          <w:lang w:val="en-US" w:eastAsia="zh-CN" w:bidi="ar"/>
        </w:rPr>
        <w:t>锈</w:t>
      </w:r>
      <w:r>
        <w:rPr>
          <w:rFonts w:hint="eastAsia" w:ascii="宋体" w:hAnsi="宋体" w:eastAsia="宋体" w:cs="宋体"/>
          <w:snapToGrid w:val="0"/>
          <w:color w:val="auto"/>
          <w:kern w:val="0"/>
          <w:sz w:val="21"/>
          <w:szCs w:val="21"/>
          <w:lang w:val="en-US" w:eastAsia="zh-CN" w:bidi="ar"/>
        </w:rPr>
        <w:t>层或铜质的螺栓和螺钉，并应有配套的防松装置</w:t>
      </w:r>
      <w:r>
        <w:rPr>
          <w:rFonts w:hint="eastAsia" w:ascii="宋体" w:hAnsi="宋体" w:cs="宋体"/>
          <w:snapToGrid w:val="0"/>
          <w:color w:val="auto"/>
          <w:kern w:val="0"/>
          <w:sz w:val="21"/>
          <w:szCs w:val="21"/>
          <w:lang w:val="en-US" w:eastAsia="zh-CN" w:bidi="ar"/>
        </w:rPr>
        <w:t>。</w:t>
      </w:r>
    </w:p>
    <w:p w14:paraId="07C8B5B6">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6.2.1.1.2</w:t>
      </w:r>
      <w:r>
        <w:rPr>
          <w:rFonts w:hint="eastAsia" w:ascii="宋体" w:hAnsi="宋体" w:eastAsia="宋体" w:cs="宋体"/>
          <w:snapToGrid w:val="0"/>
          <w:color w:val="auto"/>
          <w:kern w:val="0"/>
          <w:sz w:val="21"/>
          <w:szCs w:val="21"/>
          <w:lang w:val="en-US" w:eastAsia="zh-CN" w:bidi="ar"/>
        </w:rPr>
        <w:t xml:space="preserve">  需要接地的电器金属外壳、框架</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可靠接地。</w:t>
      </w:r>
      <w:r>
        <w:rPr>
          <w:rFonts w:hint="eastAsia" w:ascii="宋体" w:hAnsi="宋体" w:eastAsia="宋体" w:cs="宋体"/>
          <w:snapToGrid w:val="0"/>
          <w:color w:val="auto"/>
          <w:kern w:val="0"/>
          <w:sz w:val="21"/>
          <w:szCs w:val="21"/>
          <w:lang w:val="en-US" w:eastAsia="zh-CN" w:bidi="ar"/>
        </w:rPr>
        <w:t xml:space="preserve"> </w:t>
      </w:r>
    </w:p>
    <w:p w14:paraId="6DFFB18F">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6.2.1.1.3</w:t>
      </w:r>
      <w:r>
        <w:rPr>
          <w:rFonts w:hint="eastAsia" w:ascii="宋体" w:hAnsi="宋体" w:eastAsia="宋体" w:cs="宋体"/>
          <w:snapToGrid w:val="0"/>
          <w:color w:val="auto"/>
          <w:kern w:val="0"/>
          <w:sz w:val="21"/>
          <w:szCs w:val="21"/>
          <w:lang w:val="en-US" w:eastAsia="zh-CN" w:bidi="ar"/>
        </w:rPr>
        <w:t xml:space="preserve">  发热元件宜安装在散热良好的地方，两个发热元件之间的连线应采用耐热导线。</w:t>
      </w:r>
    </w:p>
    <w:p w14:paraId="2956AD85">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6.2.1.1.4</w:t>
      </w:r>
      <w:r>
        <w:rPr>
          <w:rFonts w:hint="eastAsia" w:ascii="宋体" w:hAnsi="宋体" w:eastAsia="宋体" w:cs="宋体"/>
          <w:snapToGrid w:val="0"/>
          <w:color w:val="auto"/>
          <w:kern w:val="0"/>
          <w:sz w:val="21"/>
          <w:szCs w:val="21"/>
          <w:lang w:val="en-US" w:eastAsia="zh-CN" w:bidi="ar"/>
        </w:rPr>
        <w:t xml:space="preserve">  电磁器件应无异常响声。 </w:t>
      </w:r>
    </w:p>
    <w:p w14:paraId="69AEC26C">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6.2.1.1.5</w:t>
      </w:r>
      <w:r>
        <w:rPr>
          <w:rFonts w:hint="eastAsia" w:ascii="宋体" w:hAnsi="宋体" w:eastAsia="宋体" w:cs="宋体"/>
          <w:snapToGrid w:val="0"/>
          <w:color w:val="auto"/>
          <w:kern w:val="0"/>
          <w:sz w:val="21"/>
          <w:szCs w:val="21"/>
          <w:lang w:val="en-US" w:eastAsia="zh-CN" w:bidi="ar"/>
        </w:rPr>
        <w:t xml:space="preserve">  电器靠近高温物体时，应采取隔热、散热措施。 </w:t>
      </w:r>
    </w:p>
    <w:p w14:paraId="3E62F4A1">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6.2.1.1.6</w:t>
      </w:r>
      <w:r>
        <w:rPr>
          <w:rFonts w:hint="eastAsia" w:ascii="宋体" w:hAnsi="宋体" w:eastAsia="宋体" w:cs="宋体"/>
          <w:snapToGrid w:val="0"/>
          <w:color w:val="auto"/>
          <w:kern w:val="0"/>
          <w:sz w:val="21"/>
          <w:szCs w:val="21"/>
          <w:lang w:val="en-US" w:eastAsia="zh-CN" w:bidi="ar"/>
        </w:rPr>
        <w:t xml:space="preserve">  电器不应直接安装在可燃结构上，确需安装时，应采取阻燃或隔热措施。 </w:t>
      </w:r>
    </w:p>
    <w:p w14:paraId="062998C4">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6.2.1.1.7</w:t>
      </w:r>
      <w:r>
        <w:rPr>
          <w:rFonts w:hint="eastAsia" w:ascii="宋体" w:hAnsi="宋体" w:eastAsia="宋体" w:cs="宋体"/>
          <w:snapToGrid w:val="0"/>
          <w:color w:val="auto"/>
          <w:kern w:val="0"/>
          <w:sz w:val="21"/>
          <w:szCs w:val="21"/>
          <w:lang w:val="en-US" w:eastAsia="zh-CN" w:bidi="ar"/>
        </w:rPr>
        <w:t xml:space="preserve">  电器不应有火花放电现象。 </w:t>
      </w:r>
    </w:p>
    <w:p w14:paraId="167C2A9B">
      <w:pPr>
        <w:keepNext w:val="0"/>
        <w:keepLines w:val="0"/>
        <w:pageBreakBefore w:val="0"/>
        <w:widowControl/>
        <w:suppressLineNumbers w:val="0"/>
        <w:overflowPunct/>
        <w:topLinePunct w:val="0"/>
        <w:bidi w:val="0"/>
        <w:jc w:val="left"/>
        <w:rPr>
          <w:rFonts w:hint="default"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6.2.1.1.8  </w:t>
      </w:r>
      <w:r>
        <w:rPr>
          <w:rFonts w:hint="eastAsia" w:ascii="宋体" w:hAnsi="宋体" w:eastAsia="宋体" w:cs="宋体"/>
          <w:snapToGrid w:val="0"/>
          <w:color w:val="auto"/>
          <w:kern w:val="0"/>
          <w:sz w:val="21"/>
          <w:szCs w:val="21"/>
          <w:lang w:val="en-US" w:eastAsia="zh-CN" w:bidi="ar"/>
        </w:rPr>
        <w:t>低压配电与控制电器应安装在室内或专用配电房内</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如安装在室外时，应有防雨防潮、防小动物的有效措施，</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防护等级不应低于IP54</w:t>
      </w:r>
      <w:r>
        <w:rPr>
          <w:rFonts w:hint="eastAsia" w:ascii="宋体" w:hAnsi="宋体" w:cs="宋体"/>
          <w:snapToGrid w:val="0"/>
          <w:color w:val="auto"/>
          <w:kern w:val="0"/>
          <w:sz w:val="21"/>
          <w:szCs w:val="21"/>
          <w:lang w:val="en-US" w:eastAsia="zh-CN" w:bidi="ar"/>
        </w:rPr>
        <w:t>。</w:t>
      </w:r>
    </w:p>
    <w:p w14:paraId="31881BFD">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6.2.1.2  仪器检测</w:t>
      </w:r>
    </w:p>
    <w:p w14:paraId="63FA208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napToGrid w:val="0"/>
          <w:color w:val="auto"/>
          <w:kern w:val="0"/>
          <w:sz w:val="22"/>
          <w:szCs w:val="22"/>
          <w:lang w:val="en-US" w:eastAsia="zh-CN" w:bidi="ar"/>
        </w:rPr>
      </w:pPr>
      <w:r>
        <w:rPr>
          <w:rFonts w:hint="eastAsia" w:ascii="宋体" w:hAnsi="宋体" w:eastAsia="宋体" w:cs="宋体"/>
          <w:snapToGrid w:val="0"/>
          <w:color w:val="auto"/>
          <w:kern w:val="0"/>
          <w:sz w:val="21"/>
          <w:szCs w:val="21"/>
          <w:lang w:val="en-US" w:eastAsia="zh-CN" w:bidi="ar"/>
        </w:rPr>
        <w:t>电器接线端子、母线连接点及电缆终端头的温升不应超过表3、表4中规定的数值。</w:t>
      </w:r>
    </w:p>
    <w:p w14:paraId="00E419A8">
      <w:pPr>
        <w:pStyle w:val="301"/>
        <w:bidi w:val="0"/>
        <w:rPr>
          <w:rFonts w:hint="eastAsia"/>
          <w:color w:val="auto"/>
          <w:lang w:val="en-US" w:eastAsia="zh-CN"/>
        </w:rPr>
      </w:pPr>
      <w:bookmarkStart w:id="253" w:name="_Toc27541"/>
      <w:bookmarkStart w:id="254" w:name="_Toc15392"/>
      <w:bookmarkStart w:id="255" w:name="_Toc25028"/>
      <w:bookmarkStart w:id="256" w:name="_Toc21346"/>
      <w:bookmarkStart w:id="257" w:name="_Toc30794"/>
      <w:bookmarkStart w:id="258" w:name="_Toc14404"/>
      <w:bookmarkStart w:id="259" w:name="_Toc22935"/>
      <w:bookmarkStart w:id="260" w:name="_Toc9987"/>
      <w:bookmarkStart w:id="261" w:name="_Toc31842"/>
      <w:bookmarkStart w:id="262" w:name="_Toc3817"/>
      <w:r>
        <w:rPr>
          <w:rFonts w:hint="eastAsia"/>
          <w:color w:val="auto"/>
          <w:lang w:val="en-US" w:eastAsia="zh-CN"/>
        </w:rPr>
        <w:t>电力电缆最高允许温度和表面允许温升值</w:t>
      </w:r>
      <w:bookmarkEnd w:id="253"/>
      <w:bookmarkEnd w:id="254"/>
      <w:bookmarkEnd w:id="255"/>
      <w:bookmarkEnd w:id="256"/>
      <w:bookmarkEnd w:id="257"/>
      <w:bookmarkEnd w:id="258"/>
      <w:bookmarkEnd w:id="259"/>
      <w:bookmarkEnd w:id="260"/>
      <w:bookmarkEnd w:id="261"/>
      <w:bookmarkEnd w:id="262"/>
    </w:p>
    <w:tbl>
      <w:tblPr>
        <w:tblStyle w:val="88"/>
        <w:tblW w:w="9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6"/>
        <w:gridCol w:w="3989"/>
        <w:gridCol w:w="1516"/>
        <w:gridCol w:w="1516"/>
      </w:tblGrid>
      <w:tr w14:paraId="4E4C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A0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电缆类型</w:t>
            </w:r>
          </w:p>
        </w:tc>
        <w:tc>
          <w:tcPr>
            <w:tcW w:w="3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9E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缆芯长期允许温度</w:t>
            </w:r>
          </w:p>
          <w:p w14:paraId="40FA2D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w:t>
            </w:r>
          </w:p>
        </w:tc>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C964A">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表面允许温升</w:t>
            </w:r>
          </w:p>
          <w:p w14:paraId="0733F281">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w:t>
            </w:r>
          </w:p>
        </w:tc>
      </w:tr>
      <w:tr w14:paraId="1506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8E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u w:val="none"/>
              </w:rPr>
            </w:pPr>
          </w:p>
        </w:tc>
        <w:tc>
          <w:tcPr>
            <w:tcW w:w="3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9775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带铠装</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F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不带铠装</w:t>
            </w:r>
          </w:p>
        </w:tc>
      </w:tr>
      <w:tr w14:paraId="2DC0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5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85B7D">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聚氯乙烯绝缘电力电缆</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F24357">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99D34">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CF323">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25</w:t>
            </w:r>
          </w:p>
        </w:tc>
      </w:tr>
      <w:tr w14:paraId="6B82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5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C495D">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交联聚乙烯绝缘电力电缆</w:t>
            </w:r>
          </w:p>
        </w:tc>
        <w:tc>
          <w:tcPr>
            <w:tcW w:w="39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C006E">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8B764">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D3A97">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35</w:t>
            </w:r>
          </w:p>
        </w:tc>
      </w:tr>
    </w:tbl>
    <w:p w14:paraId="5BDFC4CC">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63" w:name="_Toc24838"/>
      <w:r>
        <w:rPr>
          <w:rFonts w:hint="eastAsia" w:ascii="黑体" w:hAnsi="黑体" w:eastAsia="黑体" w:cs="黑体"/>
          <w:color w:val="auto"/>
          <w:spacing w:val="11"/>
          <w:sz w:val="21"/>
          <w:szCs w:val="21"/>
          <w:lang w:val="en-US" w:eastAsia="zh-CN"/>
        </w:rPr>
        <w:t>6.2.2  剩余电流动作保护装置</w:t>
      </w:r>
      <w:bookmarkEnd w:id="263"/>
    </w:p>
    <w:p w14:paraId="606EC37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6.2.2.1  直观检查</w:t>
      </w:r>
    </w:p>
    <w:p w14:paraId="27DF1E56">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 xml:space="preserve">6.2.2.1.1  </w:t>
      </w:r>
      <w:r>
        <w:rPr>
          <w:rFonts w:hint="eastAsia" w:ascii="宋体" w:hAnsi="宋体" w:eastAsia="宋体" w:cs="宋体"/>
          <w:snapToGrid w:val="0"/>
          <w:color w:val="auto"/>
          <w:kern w:val="0"/>
          <w:sz w:val="21"/>
          <w:szCs w:val="21"/>
          <w:lang w:val="en-US" w:eastAsia="zh-CN" w:bidi="ar"/>
        </w:rPr>
        <w:t>防止电气火灾的剩余电流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装置的接线应符合下列规定</w:t>
      </w:r>
      <w:r>
        <w:rPr>
          <w:rFonts w:hint="eastAsia" w:ascii="宋体" w:hAnsi="宋体" w:cs="宋体"/>
          <w:snapToGrid w:val="0"/>
          <w:color w:val="auto"/>
          <w:kern w:val="0"/>
          <w:sz w:val="21"/>
          <w:szCs w:val="21"/>
          <w:lang w:val="en-US" w:eastAsia="zh-CN" w:bidi="ar"/>
        </w:rPr>
        <w:t>：</w:t>
      </w:r>
    </w:p>
    <w:p w14:paraId="6ACA2B5E">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装置在不同的系统接地方式中应正确接线</w:t>
      </w:r>
      <w:r>
        <w:rPr>
          <w:rFonts w:hint="eastAsia" w:ascii="宋体" w:hAnsi="宋体" w:cs="宋体"/>
          <w:snapToGrid w:val="0"/>
          <w:color w:val="auto"/>
          <w:kern w:val="0"/>
          <w:sz w:val="21"/>
          <w:szCs w:val="21"/>
          <w:lang w:val="en-US" w:eastAsia="zh-CN" w:bidi="ar"/>
        </w:rPr>
        <w:t>；</w:t>
      </w:r>
    </w:p>
    <w:p w14:paraId="178023C8">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负荷侧的N线，只能作为中性线，不得与其他回路共用，且不能重复接地；</w:t>
      </w:r>
    </w:p>
    <w:p w14:paraId="62D7CF85">
      <w:pPr>
        <w:keepNext w:val="0"/>
        <w:keepLines w:val="0"/>
        <w:pageBreakBefore w:val="0"/>
        <w:widowControl/>
        <w:suppressLineNumbers w:val="0"/>
        <w:kinsoku w:val="0"/>
        <w:wordWrap/>
        <w:overflowPunct/>
        <w:topLinePunct w:val="0"/>
        <w:autoSpaceDE/>
        <w:autoSpaceDN/>
        <w:bidi w:val="0"/>
        <w:adjustRightInd w:val="0"/>
        <w:snapToGrid w:val="0"/>
        <w:ind w:left="840" w:leftChars="200"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通过剩余电流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装置的N线，不得作为PE线，不得重复接地或接设备外露可接近导体</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PE线不得接入剩余电流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w:t>
      </w:r>
      <w:r>
        <w:rPr>
          <w:rFonts w:hint="eastAsia" w:ascii="宋体" w:hAnsi="宋体" w:cs="宋体"/>
          <w:snapToGrid w:val="0"/>
          <w:color w:val="auto"/>
          <w:kern w:val="0"/>
          <w:sz w:val="21"/>
          <w:szCs w:val="21"/>
          <w:lang w:val="en-US" w:eastAsia="zh-CN" w:bidi="ar"/>
        </w:rPr>
        <w:t>。</w:t>
      </w:r>
    </w:p>
    <w:p w14:paraId="48E62F7C">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6.2.2.1.2</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装置表面无腐蚀、涂层脱落和起泡现象，无明显的机械损伤。</w:t>
      </w:r>
    </w:p>
    <w:p w14:paraId="7E4CC27D">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6.2.2.2  仪器检测</w:t>
      </w:r>
    </w:p>
    <w:p w14:paraId="1EEF955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6.2.2.2.1  </w:t>
      </w:r>
      <w:r>
        <w:rPr>
          <w:rFonts w:hint="eastAsia" w:ascii="宋体" w:hAnsi="宋体" w:eastAsia="宋体" w:cs="宋体"/>
          <w:snapToGrid w:val="0"/>
          <w:color w:val="auto"/>
          <w:kern w:val="0"/>
          <w:sz w:val="21"/>
          <w:szCs w:val="21"/>
          <w:lang w:val="en-US" w:eastAsia="zh-CN" w:bidi="ar"/>
        </w:rPr>
        <w:t>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装置连接外部导体的接线端子温升不应超过表3规定。</w:t>
      </w:r>
    </w:p>
    <w:p w14:paraId="32BBC95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6.2.2.2.2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装置应验证在剩余电流条件下动作特性符合产品标准要求。</w:t>
      </w:r>
    </w:p>
    <w:p w14:paraId="6E2742A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64" w:name="_Toc32492"/>
      <w:r>
        <w:rPr>
          <w:rFonts w:hint="eastAsia" w:ascii="黑体" w:hAnsi="黑体" w:eastAsia="黑体" w:cs="黑体"/>
          <w:color w:val="auto"/>
          <w:spacing w:val="11"/>
          <w:sz w:val="21"/>
          <w:szCs w:val="21"/>
          <w:lang w:val="en-US" w:eastAsia="zh-CN"/>
        </w:rPr>
        <w:t>6.2.3  低压配电柜</w:t>
      </w:r>
      <w:bookmarkEnd w:id="264"/>
      <w:r>
        <w:rPr>
          <w:rFonts w:hint="eastAsia" w:ascii="黑体" w:hAnsi="黑体" w:eastAsia="黑体" w:cs="黑体"/>
          <w:color w:val="auto"/>
          <w:spacing w:val="11"/>
          <w:sz w:val="21"/>
          <w:szCs w:val="21"/>
          <w:lang w:val="en-US" w:eastAsia="zh-CN"/>
        </w:rPr>
        <w:t>（屏、台、箱、盘）</w:t>
      </w:r>
    </w:p>
    <w:p w14:paraId="0EA0EB6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宋体" w:hAnsi="宋体" w:eastAsia="宋体" w:cs="宋体"/>
          <w:color w:val="auto"/>
          <w:spacing w:val="11"/>
          <w:sz w:val="22"/>
          <w:szCs w:val="22"/>
          <w:lang w:val="en-US" w:eastAsia="zh-CN"/>
        </w:rPr>
      </w:pPr>
      <w:r>
        <w:rPr>
          <w:rFonts w:hint="eastAsia" w:ascii="黑体" w:hAnsi="黑体" w:eastAsia="黑体" w:cs="黑体"/>
          <w:color w:val="auto"/>
          <w:spacing w:val="11"/>
          <w:sz w:val="21"/>
          <w:szCs w:val="21"/>
          <w:lang w:val="en-US" w:eastAsia="zh-CN"/>
        </w:rPr>
        <w:t>6.2.3.1  直观检查</w:t>
      </w:r>
    </w:p>
    <w:p w14:paraId="4B254A8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6.2.3.1.1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配电柜（屏、台、箱、盘）内各分立电器应符合本标准</w:t>
      </w:r>
      <w:r>
        <w:rPr>
          <w:rFonts w:hint="eastAsia" w:ascii="宋体" w:hAnsi="宋体" w:cs="宋体"/>
          <w:snapToGrid w:val="0"/>
          <w:color w:val="auto"/>
          <w:kern w:val="0"/>
          <w:sz w:val="21"/>
          <w:szCs w:val="21"/>
          <w:lang w:val="en-US" w:eastAsia="zh-CN" w:bidi="ar"/>
        </w:rPr>
        <w:t>6</w:t>
      </w:r>
      <w:r>
        <w:rPr>
          <w:rFonts w:hint="eastAsia" w:ascii="宋体" w:hAnsi="宋体" w:eastAsia="宋体" w:cs="宋体"/>
          <w:snapToGrid w:val="0"/>
          <w:color w:val="auto"/>
          <w:kern w:val="0"/>
          <w:sz w:val="21"/>
          <w:szCs w:val="21"/>
          <w:lang w:val="en-US" w:eastAsia="zh-CN" w:bidi="ar"/>
        </w:rPr>
        <w:t xml:space="preserve">.2.1中的有关规定。 </w:t>
      </w:r>
    </w:p>
    <w:p w14:paraId="07409652">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6.2.3.1.2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配电柜（屏、台、箱、盘）应作如下检查</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4A72EBFA">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配电柜（屏、台、箱、盘）周围不应堆放杂物</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42DBFDB3">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配电柜（屏、台、箱、盘）的导线不应有接头，芯线应无损伤</w:t>
      </w:r>
      <w:r>
        <w:rPr>
          <w:rFonts w:hint="eastAsia" w:ascii="宋体" w:hAnsi="宋体" w:cs="宋体"/>
          <w:snapToGrid w:val="0"/>
          <w:color w:val="auto"/>
          <w:kern w:val="0"/>
          <w:sz w:val="21"/>
          <w:szCs w:val="21"/>
          <w:lang w:val="en-US" w:eastAsia="zh-CN" w:bidi="ar"/>
        </w:rPr>
        <w:t>；</w:t>
      </w:r>
    </w:p>
    <w:p w14:paraId="08F959E7">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建筑内部的配电箱（盘）不应直接安装在低于</w:t>
      </w:r>
      <w:r>
        <w:rPr>
          <w:rFonts w:hint="eastAsia" w:ascii="宋体" w:hAnsi="宋体" w:cs="宋体"/>
          <w:b w:val="0"/>
          <w:bCs w:val="0"/>
          <w:snapToGrid w:val="0"/>
          <w:color w:val="auto"/>
          <w:kern w:val="0"/>
          <w:sz w:val="21"/>
          <w:szCs w:val="21"/>
          <w:lang w:val="en-US" w:eastAsia="zh-CN" w:bidi="ar"/>
        </w:rPr>
        <w:t>B</w:t>
      </w:r>
      <w:r>
        <w:rPr>
          <w:rFonts w:hint="eastAsia" w:ascii="宋体" w:hAnsi="宋体" w:cs="宋体"/>
          <w:b w:val="0"/>
          <w:bCs w:val="0"/>
          <w:snapToGrid w:val="0"/>
          <w:color w:val="auto"/>
          <w:kern w:val="0"/>
          <w:sz w:val="21"/>
          <w:szCs w:val="21"/>
          <w:vertAlign w:val="subscript"/>
          <w:lang w:val="en-US" w:eastAsia="zh-CN" w:bidi="ar"/>
        </w:rPr>
        <w:t>1</w:t>
      </w:r>
      <w:r>
        <w:rPr>
          <w:rFonts w:hint="eastAsia" w:ascii="宋体" w:hAnsi="宋体" w:eastAsia="宋体" w:cs="宋体"/>
          <w:snapToGrid w:val="0"/>
          <w:color w:val="auto"/>
          <w:kern w:val="0"/>
          <w:sz w:val="21"/>
          <w:szCs w:val="21"/>
          <w:lang w:val="en-US" w:eastAsia="zh-CN" w:bidi="ar"/>
        </w:rPr>
        <w:t>级的装修材料上</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27022EC2">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导线进出配电柜（屏、台、箱、盘）孔处，进出线孔应光滑无刺，并应装设绝缘护套</w:t>
      </w:r>
      <w:r>
        <w:rPr>
          <w:rFonts w:hint="eastAsia" w:ascii="宋体" w:hAnsi="宋体" w:cs="宋体"/>
          <w:snapToGrid w:val="0"/>
          <w:color w:val="auto"/>
          <w:kern w:val="0"/>
          <w:sz w:val="21"/>
          <w:szCs w:val="21"/>
          <w:lang w:val="en-US" w:eastAsia="zh-CN" w:bidi="ar"/>
        </w:rPr>
        <w:t>；</w:t>
      </w:r>
    </w:p>
    <w:p w14:paraId="45A62357">
      <w:pPr>
        <w:keepNext w:val="0"/>
        <w:keepLines w:val="0"/>
        <w:pageBreakBefore w:val="0"/>
        <w:widowControl/>
        <w:suppressLineNumbers w:val="0"/>
        <w:kinsoku w:val="0"/>
        <w:wordWrap/>
        <w:overflowPunct/>
        <w:topLinePunct w:val="0"/>
        <w:autoSpaceDE/>
        <w:autoSpaceDN/>
        <w:bidi w:val="0"/>
        <w:adjustRightInd w:val="0"/>
        <w:snapToGrid w:val="0"/>
        <w:ind w:left="840" w:leftChars="200"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配电柜（屏、台、箱、盘）的接地应符合GB 50171</w:t>
      </w:r>
      <w:r>
        <w:rPr>
          <w:rFonts w:hint="eastAsia" w:ascii="宋体" w:hAnsi="宋体" w:cs="宋体"/>
          <w:snapToGrid w:val="0"/>
          <w:color w:val="auto"/>
          <w:kern w:val="0"/>
          <w:sz w:val="21"/>
          <w:szCs w:val="21"/>
          <w:lang w:val="en-US" w:eastAsia="zh-CN" w:bidi="ar"/>
        </w:rPr>
        <w:t>中第7章对盘、柜接地</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 xml:space="preserve">规定。 </w:t>
      </w:r>
    </w:p>
    <w:p w14:paraId="0F16DB98">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6.2.3.1.3  </w:t>
      </w:r>
      <w:r>
        <w:rPr>
          <w:rFonts w:hint="eastAsia" w:ascii="宋体" w:hAnsi="宋体" w:eastAsia="宋体" w:cs="宋体"/>
          <w:snapToGrid w:val="0"/>
          <w:color w:val="auto"/>
          <w:kern w:val="0"/>
          <w:sz w:val="21"/>
          <w:szCs w:val="21"/>
          <w:lang w:val="en-US" w:eastAsia="zh-CN" w:bidi="ar"/>
        </w:rPr>
        <w:t xml:space="preserve">储存可燃物的库房及类似场所的电源开关箱应当设在库外，并有防雨防潮的保护措施。 </w:t>
      </w:r>
    </w:p>
    <w:p w14:paraId="1CEA4AF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color w:val="auto"/>
          <w:spacing w:val="11"/>
          <w:sz w:val="21"/>
          <w:szCs w:val="21"/>
          <w:lang w:val="en-US" w:eastAsia="zh-CN"/>
        </w:rPr>
        <w:t>6.2.3.2  仪器检测</w:t>
      </w:r>
    </w:p>
    <w:p w14:paraId="73C8ED5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6.2.3.2.1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配电柜（屏、台、箱、盘）内母线的连接点、分支接点、接线端子的温升不应超过表3和表4中的数值。 </w:t>
      </w:r>
    </w:p>
    <w:p w14:paraId="4DC183A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6.2.3.2.2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配电柜（屏、台、箱、盘）内线间和线对地间的绝缘电阻值应符合GB 50303</w:t>
      </w:r>
      <w:r>
        <w:rPr>
          <w:rFonts w:hint="eastAsia" w:ascii="宋体" w:hAnsi="宋体" w:cs="宋体"/>
          <w:snapToGrid w:val="0"/>
          <w:color w:val="auto"/>
          <w:kern w:val="0"/>
          <w:sz w:val="21"/>
          <w:szCs w:val="21"/>
          <w:lang w:val="en-US" w:eastAsia="zh-CN" w:bidi="ar"/>
        </w:rPr>
        <w:t>中第5章对线路绝缘测试</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 xml:space="preserve">规定。 </w:t>
      </w:r>
    </w:p>
    <w:p w14:paraId="5E23486E">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11"/>
          <w:sz w:val="21"/>
          <w:szCs w:val="21"/>
          <w:lang w:val="en-US" w:eastAsia="zh-CN"/>
        </w:rPr>
      </w:pPr>
      <w:bookmarkStart w:id="265" w:name="_Toc11143"/>
      <w:bookmarkStart w:id="266" w:name="_Toc13729"/>
      <w:bookmarkStart w:id="267" w:name="_Toc909"/>
      <w:bookmarkStart w:id="268" w:name="_Toc25245"/>
      <w:bookmarkStart w:id="269" w:name="_Toc25452"/>
      <w:bookmarkStart w:id="270" w:name="_Toc17353"/>
      <w:bookmarkStart w:id="271" w:name="_Toc17704"/>
      <w:bookmarkStart w:id="272" w:name="_Toc15276"/>
      <w:bookmarkStart w:id="273" w:name="_Toc23072"/>
      <w:bookmarkStart w:id="274" w:name="_Toc7722"/>
      <w:bookmarkStart w:id="275" w:name="_Toc22362"/>
      <w:bookmarkStart w:id="276" w:name="_Toc24446"/>
      <w:bookmarkStart w:id="277" w:name="_Toc27081"/>
      <w:bookmarkStart w:id="278" w:name="_Toc26316"/>
      <w:bookmarkStart w:id="279" w:name="_Toc11218"/>
      <w:bookmarkStart w:id="280" w:name="_Toc21118"/>
      <w:bookmarkStart w:id="281" w:name="_Toc2186"/>
      <w:bookmarkStart w:id="282" w:name="_Toc4731"/>
      <w:bookmarkStart w:id="283" w:name="_Toc13878"/>
      <w:bookmarkStart w:id="284" w:name="_Toc2609"/>
      <w:bookmarkStart w:id="285" w:name="_Toc6087"/>
      <w:bookmarkStart w:id="286" w:name="_Toc11036"/>
      <w:bookmarkStart w:id="287" w:name="_Toc2211"/>
      <w:bookmarkStart w:id="288" w:name="_Toc3297"/>
      <w:r>
        <w:rPr>
          <w:rFonts w:hint="eastAsia" w:ascii="黑体" w:hAnsi="黑体" w:eastAsia="黑体" w:cs="黑体"/>
          <w:snapToGrid w:val="0"/>
          <w:color w:val="auto"/>
          <w:kern w:val="0"/>
          <w:sz w:val="21"/>
          <w:szCs w:val="21"/>
          <w:lang w:val="en-US" w:eastAsia="zh-CN" w:bidi="ar"/>
        </w:rPr>
        <w:t>6.3</w:t>
      </w:r>
      <w:r>
        <w:rPr>
          <w:rFonts w:hint="eastAsia" w:ascii="黑体" w:hAnsi="黑体" w:eastAsia="黑体" w:cs="黑体"/>
          <w:color w:val="auto"/>
          <w:spacing w:val="11"/>
          <w:sz w:val="21"/>
          <w:szCs w:val="21"/>
          <w:lang w:val="en-US" w:eastAsia="zh-CN"/>
        </w:rPr>
        <w:t xml:space="preserve">  低压配电线路</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BF04BA4">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89" w:name="_Toc11969"/>
      <w:r>
        <w:rPr>
          <w:rFonts w:hint="eastAsia" w:ascii="黑体" w:hAnsi="黑体" w:eastAsia="黑体" w:cs="黑体"/>
          <w:color w:val="auto"/>
          <w:spacing w:val="11"/>
          <w:sz w:val="21"/>
          <w:szCs w:val="21"/>
          <w:lang w:val="en-US" w:eastAsia="zh-CN"/>
        </w:rPr>
        <w:t>6.3.1  电线和电缆</w:t>
      </w:r>
      <w:bookmarkEnd w:id="289"/>
    </w:p>
    <w:p w14:paraId="1304C81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6.3.1.1  直观检查</w:t>
      </w:r>
    </w:p>
    <w:p w14:paraId="7F9C4590">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电线、电缆的选型应符合国家现行技术标准</w:t>
      </w:r>
      <w:r>
        <w:rPr>
          <w:rFonts w:hint="eastAsia" w:ascii="宋体" w:hAnsi="宋体" w:cs="宋体"/>
          <w:snapToGrid w:val="0"/>
          <w:color w:val="auto"/>
          <w:kern w:val="0"/>
          <w:sz w:val="21"/>
          <w:szCs w:val="21"/>
          <w:lang w:val="en-US" w:eastAsia="zh-CN" w:bidi="ar"/>
        </w:rPr>
        <w:t>和本地区地方标准</w:t>
      </w:r>
      <w:r>
        <w:rPr>
          <w:rFonts w:hint="eastAsia" w:ascii="宋体" w:hAnsi="宋体" w:eastAsia="宋体" w:cs="宋体"/>
          <w:snapToGrid w:val="0"/>
          <w:color w:val="auto"/>
          <w:kern w:val="0"/>
          <w:sz w:val="21"/>
          <w:szCs w:val="21"/>
          <w:lang w:val="en-US" w:eastAsia="zh-CN" w:bidi="ar"/>
        </w:rPr>
        <w:t>的规定。</w:t>
      </w:r>
    </w:p>
    <w:p w14:paraId="617A8590">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电线、电缆通过易受机械损伤、过热、腐蚀等危害的地段时，应采取相应的保护措施。 </w:t>
      </w:r>
    </w:p>
    <w:p w14:paraId="440D2647">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终端和中间接头的接头连接应牢固可靠，绝缘良好。 </w:t>
      </w:r>
    </w:p>
    <w:p w14:paraId="65D5BE27">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6.3.1.1.4  </w:t>
      </w:r>
      <w:r>
        <w:rPr>
          <w:rFonts w:hint="eastAsia" w:ascii="宋体" w:hAnsi="宋体" w:eastAsia="宋体" w:cs="宋体"/>
          <w:snapToGrid w:val="0"/>
          <w:color w:val="auto"/>
          <w:kern w:val="0"/>
          <w:sz w:val="21"/>
          <w:szCs w:val="21"/>
          <w:lang w:val="en-US" w:eastAsia="zh-CN" w:bidi="ar"/>
        </w:rPr>
        <w:t>电线、电缆绝缘层不应有机械损伤痕迹、变色、脆裂、炭化现象。</w:t>
      </w:r>
    </w:p>
    <w:p w14:paraId="4EEB6CB9">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6.3.1.2  仪器检测</w:t>
      </w:r>
    </w:p>
    <w:p w14:paraId="14BD9F6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电线、电缆相与相以及相对地之间的绝缘电阻值不应</w:t>
      </w:r>
      <w:r>
        <w:rPr>
          <w:rFonts w:hint="eastAsia" w:ascii="宋体" w:hAnsi="宋体" w:cs="宋体"/>
          <w:snapToGrid w:val="0"/>
          <w:color w:val="auto"/>
          <w:kern w:val="0"/>
          <w:sz w:val="21"/>
          <w:szCs w:val="21"/>
          <w:lang w:val="en-US" w:eastAsia="zh-CN" w:bidi="ar"/>
        </w:rPr>
        <w:t>小</w:t>
      </w:r>
      <w:r>
        <w:rPr>
          <w:rFonts w:hint="eastAsia" w:ascii="宋体" w:hAnsi="宋体" w:eastAsia="宋体" w:cs="宋体"/>
          <w:snapToGrid w:val="0"/>
          <w:color w:val="auto"/>
          <w:kern w:val="0"/>
          <w:sz w:val="21"/>
          <w:szCs w:val="21"/>
          <w:lang w:val="en-US" w:eastAsia="zh-CN" w:bidi="ar"/>
        </w:rPr>
        <w:t>于0.5MΩ。</w:t>
      </w:r>
    </w:p>
    <w:p w14:paraId="4AD5E0A9">
      <w:pPr>
        <w:keepNext w:val="0"/>
        <w:keepLines w:val="0"/>
        <w:pageBreakBefore w:val="0"/>
        <w:widowControl/>
        <w:suppressLineNumbers w:val="0"/>
        <w:kinsoku/>
        <w:wordWrap/>
        <w:overflowPunct/>
        <w:topLinePunct w:val="0"/>
        <w:autoSpaceDE/>
        <w:autoSpaceDN/>
        <w:bidi w:val="0"/>
        <w:adjustRightInd/>
        <w:snapToGrid/>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低压母线绝缘电阻值不应小于0.5MΩ。 </w:t>
      </w:r>
    </w:p>
    <w:p w14:paraId="19A634B3">
      <w:pPr>
        <w:keepNext w:val="0"/>
        <w:keepLines w:val="0"/>
        <w:widowControl/>
        <w:suppressLineNumbers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6.3.1.2.3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测量电线、电缆负荷电流，线芯和绝缘表面温度。最高允许温度和表面允许温升值应符合表4的规定。</w:t>
      </w:r>
    </w:p>
    <w:p w14:paraId="65F6999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90" w:name="_Toc21363"/>
      <w:r>
        <w:rPr>
          <w:rFonts w:hint="eastAsia" w:ascii="黑体" w:hAnsi="黑体" w:eastAsia="黑体" w:cs="黑体"/>
          <w:color w:val="auto"/>
          <w:spacing w:val="11"/>
          <w:sz w:val="21"/>
          <w:szCs w:val="21"/>
          <w:lang w:val="en-US" w:eastAsia="zh-CN"/>
        </w:rPr>
        <w:t>6.3.2  线路敷设</w:t>
      </w:r>
      <w:bookmarkEnd w:id="290"/>
    </w:p>
    <w:p w14:paraId="6FC60E9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6.3.2.1  直观检查</w:t>
      </w:r>
    </w:p>
    <w:p w14:paraId="7FFB0849">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6.3.2.1.1</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配电线路的敷设等应符合国家现行技术标准</w:t>
      </w:r>
      <w:r>
        <w:rPr>
          <w:rFonts w:hint="eastAsia" w:ascii="宋体" w:hAnsi="宋体" w:cs="宋体"/>
          <w:snapToGrid w:val="0"/>
          <w:color w:val="auto"/>
          <w:kern w:val="0"/>
          <w:sz w:val="21"/>
          <w:szCs w:val="21"/>
          <w:lang w:val="en-US" w:eastAsia="zh-CN" w:bidi="ar"/>
        </w:rPr>
        <w:t>和本地区地方标准</w:t>
      </w:r>
      <w:r>
        <w:rPr>
          <w:rFonts w:hint="eastAsia" w:ascii="宋体" w:hAnsi="宋体" w:eastAsia="宋体" w:cs="宋体"/>
          <w:snapToGrid w:val="0"/>
          <w:color w:val="auto"/>
          <w:kern w:val="0"/>
          <w:sz w:val="21"/>
          <w:szCs w:val="21"/>
          <w:lang w:val="en-US" w:eastAsia="zh-CN" w:bidi="ar"/>
        </w:rPr>
        <w:t>的规定。</w:t>
      </w:r>
    </w:p>
    <w:p w14:paraId="3E3A4F66">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6.3.2.1.2</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在有可燃物闷顶和吊顶内敷设电力线缆时，应采用不燃材料的导管或电缆槽盒保护</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在闷顶内从接线盒引向器具的绝缘导线应采用可挠金属管或柔性金属管等保护，导线不应有裸露部分。</w:t>
      </w:r>
    </w:p>
    <w:p w14:paraId="676AF4C5">
      <w:pPr>
        <w:keepNext w:val="0"/>
        <w:keepLines w:val="0"/>
        <w:pageBreakBefore w:val="0"/>
        <w:widowControl/>
        <w:suppressLineNumbers w:val="0"/>
        <w:wordWrap/>
        <w:overflowPunct/>
        <w:topLinePunct w:val="0"/>
        <w:bidi w:val="0"/>
        <w:adjustRightInd/>
        <w:snapToGrid/>
        <w:jc w:val="left"/>
        <w:rPr>
          <w:rFonts w:hint="default"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6.3.2.1.3  </w:t>
      </w:r>
      <w:r>
        <w:rPr>
          <w:rFonts w:hint="eastAsia" w:ascii="宋体" w:hAnsi="宋体" w:eastAsia="宋体" w:cs="宋体"/>
          <w:snapToGrid w:val="0"/>
          <w:color w:val="auto"/>
          <w:kern w:val="0"/>
          <w:sz w:val="21"/>
          <w:szCs w:val="21"/>
          <w:lang w:val="en-US" w:eastAsia="zh-CN" w:bidi="ar"/>
        </w:rPr>
        <w:t>在严重腐蚀性的场所（如酸、碱和具有腐蚀性的化学气体），不宜采用金属管配线。</w:t>
      </w:r>
    </w:p>
    <w:p w14:paraId="1B65F38D">
      <w:pPr>
        <w:keepNext w:val="0"/>
        <w:keepLines w:val="0"/>
        <w:pageBreakBefore w:val="0"/>
        <w:widowControl/>
        <w:suppressLineNumbers w:val="0"/>
        <w:wordWrap/>
        <w:overflowPunct/>
        <w:topLinePunct w:val="0"/>
        <w:bidi w:val="0"/>
        <w:adjustRightInd/>
        <w:snapToGrid/>
        <w:jc w:val="left"/>
        <w:rPr>
          <w:rFonts w:hint="default"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6.3.2.1.4  </w:t>
      </w:r>
      <w:r>
        <w:rPr>
          <w:rFonts w:hint="eastAsia" w:ascii="宋体" w:hAnsi="宋体" w:eastAsia="宋体" w:cs="宋体"/>
          <w:snapToGrid w:val="0"/>
          <w:color w:val="auto"/>
          <w:kern w:val="0"/>
          <w:sz w:val="21"/>
          <w:szCs w:val="21"/>
          <w:lang w:val="en-US" w:eastAsia="zh-CN" w:bidi="ar"/>
        </w:rPr>
        <w:t>储存可燃物的仓库的电线必须敷设在金属或硬质难燃塑料套管内，电线应当设在库房通道上方，与堆垛保持安全距离。</w:t>
      </w:r>
    </w:p>
    <w:p w14:paraId="1E7A2AC1">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6.3.2.1.5</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护套绝缘电线敷设在易受机械损伤的场所时，应采用刚性阻燃塑料导管、塑料槽板或金属导管保护。 护套线</w:t>
      </w:r>
      <w:r>
        <w:rPr>
          <w:rFonts w:hint="eastAsia" w:ascii="宋体" w:hAnsi="宋体" w:cs="宋体"/>
          <w:snapToGrid w:val="0"/>
          <w:color w:val="auto"/>
          <w:kern w:val="0"/>
          <w:sz w:val="21"/>
          <w:szCs w:val="21"/>
          <w:lang w:val="en-US" w:eastAsia="zh-CN" w:bidi="ar"/>
        </w:rPr>
        <w:t>不应</w:t>
      </w:r>
      <w:r>
        <w:rPr>
          <w:rFonts w:hint="eastAsia" w:ascii="宋体" w:hAnsi="宋体" w:eastAsia="宋体" w:cs="宋体"/>
          <w:snapToGrid w:val="0"/>
          <w:color w:val="auto"/>
          <w:kern w:val="0"/>
          <w:sz w:val="21"/>
          <w:szCs w:val="21"/>
          <w:lang w:val="en-US" w:eastAsia="zh-CN" w:bidi="ar"/>
        </w:rPr>
        <w:t>直接敷设在抹灰层、闷顶、护墙板、布幔角落和墙壁内，受阳光直射的室外场所，不应明敷塑料护套线。</w:t>
      </w:r>
    </w:p>
    <w:p w14:paraId="61925E9D">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6.3.2.1.6</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金属电缆支架应可靠接地。</w:t>
      </w:r>
    </w:p>
    <w:p w14:paraId="0FF6B5E5">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6.3.2.1.7  </w:t>
      </w:r>
      <w:r>
        <w:rPr>
          <w:rFonts w:hint="eastAsia" w:ascii="宋体" w:hAnsi="宋体" w:eastAsia="宋体" w:cs="宋体"/>
          <w:snapToGrid w:val="0"/>
          <w:color w:val="auto"/>
          <w:kern w:val="0"/>
          <w:sz w:val="21"/>
          <w:szCs w:val="21"/>
          <w:lang w:val="en-US" w:eastAsia="zh-CN" w:bidi="ar"/>
        </w:rPr>
        <w:t>电缆出入电缆沟，电气竖井，建筑物，配电(控制)柜、台、箱处以及管子管口处等部位应采取防火或密封措施。</w:t>
      </w:r>
    </w:p>
    <w:p w14:paraId="614987CD">
      <w:pPr>
        <w:keepNext w:val="0"/>
        <w:keepLines w:val="0"/>
        <w:pageBreakBefore w:val="0"/>
        <w:widowControl/>
        <w:suppressLineNumbers w:val="0"/>
        <w:wordWrap/>
        <w:overflowPunct/>
        <w:topLinePunct w:val="0"/>
        <w:bidi w:val="0"/>
        <w:adjustRightInd/>
        <w:snapToGrid/>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6.3.2.1.8</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装饰工程配线应符合下列要求</w:t>
      </w:r>
      <w:r>
        <w:rPr>
          <w:rFonts w:hint="eastAsia" w:ascii="宋体" w:hAnsi="宋体" w:cs="宋体"/>
          <w:snapToGrid w:val="0"/>
          <w:color w:val="auto"/>
          <w:kern w:val="0"/>
          <w:sz w:val="21"/>
          <w:szCs w:val="21"/>
          <w:lang w:val="en-US" w:eastAsia="zh-CN" w:bidi="ar"/>
        </w:rPr>
        <w:t>：</w:t>
      </w:r>
    </w:p>
    <w:p w14:paraId="74754BB3">
      <w:pPr>
        <w:keepNext w:val="0"/>
        <w:keepLines w:val="0"/>
        <w:pageBreakBefore w:val="0"/>
        <w:widowControl/>
        <w:suppressLineNumbers w:val="0"/>
        <w:kinsoku w:val="0"/>
        <w:wordWrap/>
        <w:overflowPunct/>
        <w:topLinePunct w:val="0"/>
        <w:autoSpaceDE w:val="0"/>
        <w:autoSpaceDN w:val="0"/>
        <w:bidi w:val="0"/>
        <w:adjustRightInd/>
        <w:snapToGrid/>
        <w:ind w:left="840" w:leftChars="200" w:hanging="420" w:hangingChars="200"/>
        <w:jc w:val="both"/>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动力设备和照明装置的配电线路，穿越可燃装饰材料时，除应穿保护管外，尚应采用不燃材料做隔热阻燃保护</w:t>
      </w:r>
      <w:r>
        <w:rPr>
          <w:rFonts w:hint="eastAsia" w:ascii="宋体" w:hAnsi="宋体" w:cs="宋体"/>
          <w:snapToGrid w:val="0"/>
          <w:color w:val="auto"/>
          <w:kern w:val="0"/>
          <w:sz w:val="21"/>
          <w:szCs w:val="21"/>
          <w:lang w:val="en-US" w:eastAsia="zh-CN" w:bidi="ar"/>
        </w:rPr>
        <w:t>；</w:t>
      </w:r>
    </w:p>
    <w:p w14:paraId="42231A26">
      <w:pPr>
        <w:keepNext w:val="0"/>
        <w:keepLines w:val="0"/>
        <w:pageBreakBefore w:val="0"/>
        <w:widowControl/>
        <w:suppressLineNumbers w:val="0"/>
        <w:kinsoku w:val="0"/>
        <w:wordWrap/>
        <w:overflowPunct/>
        <w:topLinePunct w:val="0"/>
        <w:autoSpaceDE/>
        <w:autoSpaceDN/>
        <w:bidi w:val="0"/>
        <w:adjustRightInd/>
        <w:snapToGrid/>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配电线路设置在可燃装饰夹层时，应穿金属导管保护，若受装饰构造条件限制局部不能穿金属管时，应采用金属软管，其长度不宜大于2m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导线不应裸露。</w:t>
      </w:r>
    </w:p>
    <w:p w14:paraId="3BF0A096">
      <w:pPr>
        <w:keepNext w:val="0"/>
        <w:keepLines w:val="0"/>
        <w:pageBreakBefore w:val="0"/>
        <w:widowControl/>
        <w:suppressLineNumbers w:val="0"/>
        <w:kinsoku w:val="0"/>
        <w:wordWrap/>
        <w:overflowPunct/>
        <w:topLinePunct w:val="0"/>
        <w:autoSpaceDE/>
        <w:autoSpaceDN/>
        <w:bidi w:val="0"/>
        <w:adjustRightInd/>
        <w:snapToGrid/>
        <w:ind w:left="840" w:hanging="840" w:hangingChars="400"/>
        <w:jc w:val="left"/>
        <w:textAlignment w:val="baseline"/>
        <w:rPr>
          <w:rFonts w:hint="eastAsia" w:ascii="宋体" w:hAnsi="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6.3.2.1.9  </w:t>
      </w:r>
      <w:r>
        <w:rPr>
          <w:rFonts w:hint="eastAsia" w:ascii="宋体" w:hAnsi="宋体" w:eastAsia="宋体" w:cs="宋体"/>
          <w:snapToGrid w:val="0"/>
          <w:color w:val="auto"/>
          <w:kern w:val="0"/>
          <w:sz w:val="21"/>
          <w:szCs w:val="21"/>
          <w:lang w:val="en-US" w:eastAsia="zh-CN" w:bidi="ar"/>
        </w:rPr>
        <w:t>消防配电线路应满足火灾时连续供电的需要，其敷设应符合下列规定</w:t>
      </w:r>
      <w:r>
        <w:rPr>
          <w:rFonts w:hint="eastAsia" w:ascii="宋体" w:hAnsi="宋体" w:cs="宋体"/>
          <w:snapToGrid w:val="0"/>
          <w:color w:val="auto"/>
          <w:kern w:val="0"/>
          <w:sz w:val="21"/>
          <w:szCs w:val="21"/>
          <w:lang w:val="en-US" w:eastAsia="zh-CN" w:bidi="ar"/>
        </w:rPr>
        <w:t xml:space="preserve">：   </w:t>
      </w:r>
    </w:p>
    <w:p w14:paraId="27A80166">
      <w:pPr>
        <w:keepNext w:val="0"/>
        <w:keepLines w:val="0"/>
        <w:pageBreakBefore w:val="0"/>
        <w:widowControl/>
        <w:suppressLineNumbers w:val="0"/>
        <w:kinsoku w:val="0"/>
        <w:wordWrap/>
        <w:overflowPunct/>
        <w:topLinePunct w:val="0"/>
        <w:autoSpaceDE/>
        <w:autoSpaceDN/>
        <w:bidi w:val="0"/>
        <w:adjustRightInd/>
        <w:snapToGrid/>
        <w:ind w:left="840" w:leftChars="200" w:hanging="420" w:hangingChars="200"/>
        <w:jc w:val="left"/>
        <w:textAlignment w:val="baseline"/>
        <w:rPr>
          <w:rFonts w:hint="default"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  明敷时(包括敷设在吊顶内),应穿金属导管或采用封闭式金属槽盒保护，金属导管或封闭式金属槽盒应采取防火保护措施；当采用阻燃或耐火电缆并敷设在电缆井、沟内时，可不穿金属导管或采用封闭式金属槽盒保护；当采用矿物绝缘类不燃性电缆时，可直接明敷；</w:t>
      </w:r>
    </w:p>
    <w:p w14:paraId="1CE9DC87">
      <w:pPr>
        <w:keepNext w:val="0"/>
        <w:keepLines w:val="0"/>
        <w:pageBreakBefore w:val="0"/>
        <w:widowControl/>
        <w:suppressLineNumbers w:val="0"/>
        <w:kinsoku w:val="0"/>
        <w:wordWrap/>
        <w:overflowPunct/>
        <w:topLinePunct w:val="0"/>
        <w:autoSpaceDE/>
        <w:autoSpaceDN/>
        <w:bidi w:val="0"/>
        <w:adjustRightInd/>
        <w:snapToGrid/>
        <w:ind w:firstLine="42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  暗敷时，应穿管并应敷设在不燃性结构内且保护层厚度不应小于30mm；</w:t>
      </w:r>
    </w:p>
    <w:p w14:paraId="7797EA00">
      <w:pPr>
        <w:keepNext w:val="0"/>
        <w:keepLines w:val="0"/>
        <w:pageBreakBefore w:val="0"/>
        <w:widowControl/>
        <w:suppressLineNumbers w:val="0"/>
        <w:kinsoku w:val="0"/>
        <w:wordWrap/>
        <w:overflowPunct/>
        <w:topLinePunct w:val="0"/>
        <w:autoSpaceDE/>
        <w:autoSpaceDN/>
        <w:bidi w:val="0"/>
        <w:adjustRightInd/>
        <w:snapToGrid/>
        <w:ind w:left="840" w:leftChars="200" w:hanging="420" w:hangingChars="200"/>
        <w:jc w:val="left"/>
        <w:textAlignment w:val="baseline"/>
        <w:rPr>
          <w:rFonts w:hint="default"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  消防配电线路宜与其他配电线路分开敷设在不同的电缆井、沟内；确有困难需敷设在同一电缆井、沟内时，应分别布置在电缆井、沟的两侧，且消防配电线路应采用矿物绝缘类不燃性电缆。</w:t>
      </w:r>
    </w:p>
    <w:p w14:paraId="0C9D2DD2">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snapToGrid w:val="0"/>
          <w:color w:val="auto"/>
          <w:kern w:val="0"/>
          <w:sz w:val="21"/>
          <w:szCs w:val="21"/>
          <w:lang w:val="en-US" w:eastAsia="zh-CN" w:bidi="ar"/>
        </w:rPr>
        <w:t xml:space="preserve">6.3.2.1.10  </w:t>
      </w:r>
      <w:r>
        <w:rPr>
          <w:rFonts w:hint="eastAsia" w:ascii="宋体" w:hAnsi="宋体" w:eastAsia="宋体" w:cs="宋体"/>
          <w:snapToGrid w:val="0"/>
          <w:color w:val="auto"/>
          <w:kern w:val="0"/>
          <w:sz w:val="21"/>
          <w:szCs w:val="21"/>
          <w:lang w:val="en-US" w:eastAsia="zh-CN" w:bidi="ar"/>
        </w:rPr>
        <w:t>电缆与热力管道、热力设备之间的净距，平行时不应小于1.0m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交叉时不应小于0.5m;当受条件限制时，应采取隔热措施。电缆不宜平行敷设于热力设备和热力管道的上部。</w:t>
      </w:r>
      <w:r>
        <w:rPr>
          <w:rFonts w:hint="eastAsia" w:ascii="宋体" w:hAnsi="宋体" w:eastAsia="宋体" w:cs="宋体"/>
          <w:snapToGrid w:val="0"/>
          <w:color w:val="auto"/>
          <w:kern w:val="0"/>
          <w:sz w:val="22"/>
          <w:szCs w:val="22"/>
          <w:lang w:val="en-US" w:eastAsia="zh-CN" w:bidi="ar"/>
        </w:rPr>
        <w:t xml:space="preserve"> </w:t>
      </w:r>
    </w:p>
    <w:p w14:paraId="60AB2085">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6.3.2.1.11</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电缆沟内应无杂物，无积水、渗水现象；盖板齐全，且应采用不燃材料制作。电缆隧道内应无杂物，照明、通风、排水、消防等设施应符合设计要求，完好无缺。 </w:t>
      </w:r>
    </w:p>
    <w:p w14:paraId="3BA70507">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6.3.2.1.12</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电缆进入电缆沟、隧道、坚井、建筑物、盘(柜)以及穿入</w:t>
      </w:r>
      <w:r>
        <w:rPr>
          <w:rFonts w:hint="eastAsia" w:ascii="宋体" w:hAnsi="宋体" w:cs="宋体"/>
          <w:snapToGrid w:val="0"/>
          <w:color w:val="auto"/>
          <w:kern w:val="0"/>
          <w:sz w:val="21"/>
          <w:szCs w:val="21"/>
          <w:lang w:val="en-US" w:eastAsia="zh-CN" w:bidi="ar"/>
        </w:rPr>
        <w:t>管</w:t>
      </w:r>
      <w:r>
        <w:rPr>
          <w:rFonts w:hint="eastAsia" w:ascii="宋体" w:hAnsi="宋体" w:eastAsia="宋体" w:cs="宋体"/>
          <w:snapToGrid w:val="0"/>
          <w:color w:val="auto"/>
          <w:kern w:val="0"/>
          <w:sz w:val="21"/>
          <w:szCs w:val="21"/>
          <w:lang w:val="en-US" w:eastAsia="zh-CN" w:bidi="ar"/>
        </w:rPr>
        <w:t>子时，出</w:t>
      </w:r>
      <w:r>
        <w:rPr>
          <w:rFonts w:hint="eastAsia" w:ascii="宋体" w:hAnsi="宋体" w:cs="宋体"/>
          <w:snapToGrid w:val="0"/>
          <w:color w:val="auto"/>
          <w:kern w:val="0"/>
          <w:sz w:val="21"/>
          <w:szCs w:val="21"/>
          <w:lang w:val="en-US" w:eastAsia="zh-CN" w:bidi="ar"/>
        </w:rPr>
        <w:t>入</w:t>
      </w:r>
      <w:r>
        <w:rPr>
          <w:rFonts w:hint="eastAsia" w:ascii="宋体" w:hAnsi="宋体" w:eastAsia="宋体" w:cs="宋体"/>
          <w:snapToGrid w:val="0"/>
          <w:color w:val="auto"/>
          <w:kern w:val="0"/>
          <w:sz w:val="21"/>
          <w:szCs w:val="21"/>
          <w:lang w:val="en-US" w:eastAsia="zh-CN" w:bidi="ar"/>
        </w:rPr>
        <w:t xml:space="preserve">口应封闭，管口应密封。 </w:t>
      </w:r>
    </w:p>
    <w:p w14:paraId="2AE1B88E">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6.3.2.1.13</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交流单芯电缆或分相后的每相电缆不得单根独穿于钢导管内，固定用的夹具和支架不应形成闭合磁路。</w:t>
      </w:r>
      <w:r>
        <w:rPr>
          <w:rFonts w:hint="eastAsia" w:ascii="宋体" w:hAnsi="宋体" w:eastAsia="宋体" w:cs="宋体"/>
          <w:snapToGrid w:val="0"/>
          <w:color w:val="auto"/>
          <w:kern w:val="0"/>
          <w:sz w:val="21"/>
          <w:szCs w:val="21"/>
          <w:lang w:val="en-US" w:eastAsia="zh-CN" w:bidi="ar"/>
        </w:rPr>
        <w:t xml:space="preserve"> </w:t>
      </w:r>
    </w:p>
    <w:p w14:paraId="07EA474F">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6.3.2.1.14</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电力电缆不应和输送甲、乙、丙类液体管道，可燃气管道，热力管道，敷设在同一沟内。 </w:t>
      </w:r>
      <w:r>
        <w:rPr>
          <w:rFonts w:hint="eastAsia" w:ascii="宋体" w:hAnsi="宋体" w:eastAsia="宋体" w:cs="宋体"/>
          <w:snapToGrid w:val="0"/>
          <w:color w:val="auto"/>
          <w:kern w:val="0"/>
          <w:sz w:val="22"/>
          <w:szCs w:val="22"/>
          <w:lang w:val="en-US" w:eastAsia="zh-CN" w:bidi="ar"/>
        </w:rPr>
        <w:t xml:space="preserve"> </w:t>
      </w:r>
    </w:p>
    <w:p w14:paraId="3FE7A667">
      <w:pPr>
        <w:keepNext w:val="0"/>
        <w:keepLines w:val="0"/>
        <w:widowControl/>
        <w:suppressLineNumbers w:val="0"/>
        <w:jc w:val="left"/>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snapToGrid w:val="0"/>
          <w:color w:val="auto"/>
          <w:kern w:val="0"/>
          <w:sz w:val="21"/>
          <w:szCs w:val="21"/>
          <w:lang w:val="en-US" w:eastAsia="zh-CN" w:bidi="ar"/>
        </w:rPr>
        <w:t>6.3.2.1.15</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同一回路的所有相线和中性线应敷设在同一金属槽盒内或穿于同一金属导管内。</w:t>
      </w:r>
    </w:p>
    <w:p w14:paraId="3BCFA934">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91" w:name="_Toc15808"/>
      <w:r>
        <w:rPr>
          <w:rFonts w:hint="eastAsia" w:ascii="黑体" w:hAnsi="黑体" w:eastAsia="黑体" w:cs="黑体"/>
          <w:color w:val="auto"/>
          <w:spacing w:val="11"/>
          <w:sz w:val="21"/>
          <w:szCs w:val="21"/>
          <w:lang w:val="en-US" w:eastAsia="zh-CN"/>
        </w:rPr>
        <w:t>6.3.3  导线连接</w:t>
      </w:r>
      <w:bookmarkEnd w:id="291"/>
    </w:p>
    <w:p w14:paraId="2D1D7768">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6.3.3.1  直观检查</w:t>
      </w:r>
    </w:p>
    <w:p w14:paraId="027588B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6.3.3.1.1  </w:t>
      </w:r>
      <w:r>
        <w:rPr>
          <w:rFonts w:hint="eastAsia" w:ascii="宋体" w:hAnsi="宋体" w:eastAsia="宋体" w:cs="宋体"/>
          <w:snapToGrid w:val="0"/>
          <w:color w:val="auto"/>
          <w:kern w:val="0"/>
          <w:sz w:val="21"/>
          <w:szCs w:val="21"/>
          <w:lang w:val="en-US" w:eastAsia="zh-CN" w:bidi="ar"/>
        </w:rPr>
        <w:t>导线连接应符合国家现行技术标准的规定。</w:t>
      </w:r>
    </w:p>
    <w:p w14:paraId="0BF54CE0">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6.3.3.1.2</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导线与导线连接应符合下列要求</w:t>
      </w:r>
      <w:r>
        <w:rPr>
          <w:rFonts w:hint="eastAsia" w:ascii="宋体" w:hAnsi="宋体" w:cs="宋体"/>
          <w:snapToGrid w:val="0"/>
          <w:color w:val="auto"/>
          <w:kern w:val="0"/>
          <w:sz w:val="21"/>
          <w:szCs w:val="21"/>
          <w:lang w:val="en-US" w:eastAsia="zh-CN" w:bidi="ar"/>
        </w:rPr>
        <w:t>：</w:t>
      </w:r>
    </w:p>
    <w:p w14:paraId="328771B0">
      <w:pPr>
        <w:keepNext w:val="0"/>
        <w:keepLines w:val="0"/>
        <w:pageBreakBefore w:val="0"/>
        <w:widowControl/>
        <w:suppressLineNumbers w:val="0"/>
        <w:kinsoku w:val="0"/>
        <w:wordWrap/>
        <w:overflowPunct/>
        <w:topLinePunct w:val="0"/>
        <w:autoSpaceDE w:val="0"/>
        <w:autoSpaceDN w:val="0"/>
        <w:bidi w:val="0"/>
        <w:adjustRightInd w:val="0"/>
        <w:snapToGrid w:val="0"/>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导线接头应设在盒(箱)或器具内，盒(箱)配件齐全，固定牢固；在多尘和潮湿场所，应采用密封式盒(箱)</w:t>
      </w:r>
      <w:r>
        <w:rPr>
          <w:rFonts w:hint="eastAsia" w:ascii="宋体" w:hAnsi="宋体" w:cs="宋体"/>
          <w:snapToGrid w:val="0"/>
          <w:color w:val="auto"/>
          <w:kern w:val="0"/>
          <w:sz w:val="21"/>
          <w:szCs w:val="21"/>
          <w:lang w:val="en-US" w:eastAsia="zh-CN" w:bidi="ar"/>
        </w:rPr>
        <w:t>；</w:t>
      </w:r>
    </w:p>
    <w:p w14:paraId="569FF3C0">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绝缘导线接头，应包扎绝缘，其绝缘水平不应低于导线本身的绝缘强度</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3465F03B">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临时移动电气线路的接头包扎绝缘后，应采用机械保护措施，不应被可燃物覆盖</w:t>
      </w:r>
      <w:r>
        <w:rPr>
          <w:rFonts w:hint="eastAsia" w:ascii="宋体" w:hAnsi="宋体" w:cs="宋体"/>
          <w:snapToGrid w:val="0"/>
          <w:color w:val="auto"/>
          <w:kern w:val="0"/>
          <w:sz w:val="21"/>
          <w:szCs w:val="21"/>
          <w:lang w:val="en-US" w:eastAsia="zh-CN" w:bidi="ar"/>
        </w:rPr>
        <w:t>。</w:t>
      </w:r>
    </w:p>
    <w:p w14:paraId="0B0DB0AD">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textAlignment w:val="baseline"/>
        <w:rPr>
          <w:rFonts w:hint="eastAsia" w:ascii="宋体" w:hAnsi="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6.3.3.1.3</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导线与设备、器具的连接应符合下列要求</w:t>
      </w:r>
      <w:r>
        <w:rPr>
          <w:rFonts w:hint="eastAsia" w:ascii="宋体" w:hAnsi="宋体" w:cs="宋体"/>
          <w:snapToGrid w:val="0"/>
          <w:color w:val="auto"/>
          <w:kern w:val="0"/>
          <w:sz w:val="21"/>
          <w:szCs w:val="21"/>
          <w:lang w:val="en-US" w:eastAsia="zh-CN" w:bidi="ar"/>
        </w:rPr>
        <w:t>：</w:t>
      </w:r>
    </w:p>
    <w:p w14:paraId="209B1742">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截面在10mm²及以下的单股铜芯线可直接与设备、器具的端子连接</w:t>
      </w:r>
      <w:r>
        <w:rPr>
          <w:rFonts w:hint="eastAsia" w:ascii="宋体" w:hAnsi="宋体" w:cs="宋体"/>
          <w:snapToGrid w:val="0"/>
          <w:color w:val="auto"/>
          <w:kern w:val="0"/>
          <w:sz w:val="21"/>
          <w:szCs w:val="21"/>
          <w:lang w:val="en-US" w:eastAsia="zh-CN" w:bidi="ar"/>
        </w:rPr>
        <w:t>；</w:t>
      </w:r>
    </w:p>
    <w:p w14:paraId="183C796C">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截面在2.5mm²及以下的多股铜芯线，应先将芯线拧紧搪锡或压接端子后再与设备、器具的端子连接</w:t>
      </w:r>
      <w:r>
        <w:rPr>
          <w:rFonts w:hint="eastAsia" w:ascii="宋体" w:hAnsi="宋体" w:cs="宋体"/>
          <w:snapToGrid w:val="0"/>
          <w:color w:val="auto"/>
          <w:kern w:val="0"/>
          <w:sz w:val="21"/>
          <w:szCs w:val="21"/>
          <w:lang w:val="en-US" w:eastAsia="zh-CN" w:bidi="ar"/>
        </w:rPr>
        <w:t>；</w:t>
      </w:r>
    </w:p>
    <w:p w14:paraId="1347616B">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截面大于2.5mm²的多股铜芯线，除设备自带插接式端子外，应将芯线端部拧紧搪锡压接端子后再与设备或器具的端子连接</w:t>
      </w:r>
      <w:r>
        <w:rPr>
          <w:rFonts w:hint="eastAsia" w:ascii="宋体" w:hAnsi="宋体" w:cs="宋体"/>
          <w:snapToGrid w:val="0"/>
          <w:color w:val="auto"/>
          <w:kern w:val="0"/>
          <w:sz w:val="21"/>
          <w:szCs w:val="21"/>
          <w:lang w:val="en-US" w:eastAsia="zh-CN" w:bidi="ar"/>
        </w:rPr>
        <w:t>；</w:t>
      </w:r>
    </w:p>
    <w:p w14:paraId="3F0E266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设备和器具的端子上，压接的电线不应多于两根</w:t>
      </w:r>
      <w:r>
        <w:rPr>
          <w:rFonts w:hint="eastAsia" w:ascii="宋体" w:hAnsi="宋体" w:cs="宋体"/>
          <w:snapToGrid w:val="0"/>
          <w:color w:val="auto"/>
          <w:kern w:val="0"/>
          <w:sz w:val="21"/>
          <w:szCs w:val="21"/>
          <w:lang w:val="en-US" w:eastAsia="zh-CN" w:bidi="ar"/>
        </w:rPr>
        <w:t>；</w:t>
      </w:r>
    </w:p>
    <w:p w14:paraId="25B1D1D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73" w:line="240" w:lineRule="auto"/>
        <w:ind w:left="0" w:firstLine="420" w:firstLineChars="200"/>
        <w:textAlignment w:val="baseline"/>
        <w:rPr>
          <w:rFonts w:hint="eastAsia" w:ascii="宋体" w:hAnsi="宋体" w:eastAsia="宋体" w:cs="宋体"/>
          <w:snapToGrid w:val="0"/>
          <w:color w:val="auto"/>
          <w:kern w:val="0"/>
          <w:sz w:val="22"/>
          <w:szCs w:val="22"/>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导线与接线端子连接的根部绝缘应良好，对裸露线芯应采用绝缘带严密包缠。</w:t>
      </w:r>
    </w:p>
    <w:p w14:paraId="58F2775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6.3.3.1.4</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电缆终端和接头应符合下列要求</w:t>
      </w:r>
      <w:r>
        <w:rPr>
          <w:rFonts w:hint="eastAsia" w:ascii="宋体" w:hAnsi="宋体" w:cs="宋体"/>
          <w:snapToGrid w:val="0"/>
          <w:color w:val="auto"/>
          <w:kern w:val="0"/>
          <w:sz w:val="21"/>
          <w:szCs w:val="21"/>
          <w:lang w:val="en-US" w:eastAsia="zh-CN" w:bidi="ar"/>
        </w:rPr>
        <w:t>：</w:t>
      </w:r>
    </w:p>
    <w:p w14:paraId="3D396382">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电缆终端头和接头绝缘良好</w:t>
      </w:r>
      <w:r>
        <w:rPr>
          <w:rFonts w:hint="eastAsia" w:ascii="宋体" w:hAnsi="宋体" w:cs="宋体"/>
          <w:snapToGrid w:val="0"/>
          <w:color w:val="auto"/>
          <w:kern w:val="0"/>
          <w:sz w:val="21"/>
          <w:szCs w:val="21"/>
          <w:lang w:val="en-US" w:eastAsia="zh-CN" w:bidi="ar"/>
        </w:rPr>
        <w:t>；</w:t>
      </w:r>
    </w:p>
    <w:p w14:paraId="1A417A5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电缆终端头的绝缘套管应完整清洁；绝缘胶应无塌陷无软化现象；电缆终端头应无漏油；铅包及封铅应无龟裂现象。并列敷设的电缆，其接头位置宜相互错开</w:t>
      </w:r>
      <w:r>
        <w:rPr>
          <w:rFonts w:hint="eastAsia" w:ascii="宋体" w:hAnsi="宋体" w:cs="宋体"/>
          <w:snapToGrid w:val="0"/>
          <w:color w:val="auto"/>
          <w:kern w:val="0"/>
          <w:sz w:val="21"/>
          <w:szCs w:val="21"/>
          <w:lang w:val="en-US" w:eastAsia="zh-CN" w:bidi="ar"/>
        </w:rPr>
        <w:t>；</w:t>
      </w:r>
    </w:p>
    <w:p w14:paraId="4623AA8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电缆终端引线及其接线端子的接触应良好，无过热现象</w:t>
      </w:r>
      <w:r>
        <w:rPr>
          <w:rFonts w:hint="eastAsia" w:ascii="宋体" w:hAnsi="宋体" w:cs="宋体"/>
          <w:snapToGrid w:val="0"/>
          <w:color w:val="auto"/>
          <w:kern w:val="0"/>
          <w:sz w:val="21"/>
          <w:szCs w:val="21"/>
          <w:lang w:val="en-US" w:eastAsia="zh-CN" w:bidi="ar"/>
        </w:rPr>
        <w:t>。</w:t>
      </w:r>
    </w:p>
    <w:p w14:paraId="335FA22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6.3.3.1.5</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导线接头、导线与设备或器具接线端子</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不应有打火放电现象。</w:t>
      </w:r>
    </w:p>
    <w:p w14:paraId="1FEC0556">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8"/>
          <w:sz w:val="24"/>
          <w:szCs w:val="24"/>
          <w:lang w:val="en-US" w:eastAsia="zh-CN"/>
        </w:rPr>
      </w:pPr>
      <w:r>
        <w:rPr>
          <w:rFonts w:hint="eastAsia" w:ascii="黑体" w:hAnsi="黑体" w:eastAsia="黑体" w:cs="黑体"/>
          <w:color w:val="auto"/>
          <w:spacing w:val="11"/>
          <w:sz w:val="21"/>
          <w:szCs w:val="21"/>
          <w:lang w:val="en-US" w:eastAsia="zh-CN"/>
        </w:rPr>
        <w:t>6.3.3.2  仪器检测</w:t>
      </w:r>
    </w:p>
    <w:p w14:paraId="455F6209">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6.3.3.2.1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检测电缆及电缆终端的外表最高允许温升应符合表4的规定。电缆终端和接头的温度场分布正常，无局部过热现象</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14:paraId="558205FA">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6.3.3.2.2  </w:t>
      </w:r>
      <w:r>
        <w:rPr>
          <w:rFonts w:hint="eastAsia" w:ascii="宋体" w:hAnsi="宋体" w:eastAsia="宋体" w:cs="宋体"/>
          <w:snapToGrid w:val="0"/>
          <w:color w:val="auto"/>
          <w:kern w:val="0"/>
          <w:sz w:val="21"/>
          <w:szCs w:val="21"/>
          <w:lang w:val="en-US" w:eastAsia="zh-CN" w:bidi="ar"/>
        </w:rPr>
        <w:t>电缆头引线的线间和线对地间的绝缘电阻值应大于0.5MΩ。</w:t>
      </w:r>
    </w:p>
    <w:p w14:paraId="29C5F519">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8"/>
          <w:sz w:val="21"/>
          <w:szCs w:val="21"/>
          <w:lang w:val="en-US" w:eastAsia="zh-CN"/>
        </w:rPr>
      </w:pPr>
      <w:bookmarkStart w:id="292" w:name="_Toc23653"/>
      <w:bookmarkStart w:id="293" w:name="_Toc4215"/>
      <w:bookmarkStart w:id="294" w:name="_Toc19716"/>
      <w:bookmarkStart w:id="295" w:name="_Toc16350"/>
      <w:bookmarkStart w:id="296" w:name="_Toc15058"/>
      <w:bookmarkStart w:id="297" w:name="_Toc14592"/>
      <w:bookmarkStart w:id="298" w:name="_Toc18096"/>
      <w:bookmarkStart w:id="299" w:name="_Toc5437"/>
      <w:bookmarkStart w:id="300" w:name="_Toc16158"/>
      <w:bookmarkStart w:id="301" w:name="_Toc31010"/>
      <w:bookmarkStart w:id="302" w:name="_Toc19608"/>
      <w:bookmarkStart w:id="303" w:name="_Toc16892"/>
      <w:bookmarkStart w:id="304" w:name="_Toc859"/>
      <w:bookmarkStart w:id="305" w:name="_Toc12441"/>
      <w:bookmarkStart w:id="306" w:name="_Toc9808"/>
      <w:bookmarkStart w:id="307" w:name="_Toc10414"/>
      <w:bookmarkStart w:id="308" w:name="_Toc26598"/>
      <w:bookmarkStart w:id="309" w:name="_Toc3573"/>
      <w:bookmarkStart w:id="310" w:name="_Toc9800"/>
      <w:bookmarkStart w:id="311" w:name="_Toc22625"/>
      <w:bookmarkStart w:id="312" w:name="_Toc25097"/>
      <w:bookmarkStart w:id="313" w:name="_Toc17948"/>
      <w:bookmarkStart w:id="314" w:name="_Toc15708"/>
      <w:bookmarkStart w:id="315" w:name="_Toc28555"/>
      <w:r>
        <w:rPr>
          <w:rFonts w:hint="eastAsia" w:ascii="黑体" w:hAnsi="黑体" w:eastAsia="黑体" w:cs="黑体"/>
          <w:snapToGrid w:val="0"/>
          <w:color w:val="auto"/>
          <w:kern w:val="0"/>
          <w:sz w:val="21"/>
          <w:szCs w:val="21"/>
          <w:lang w:val="en-US" w:eastAsia="zh-CN" w:bidi="ar"/>
        </w:rPr>
        <w:t>6.4</w:t>
      </w:r>
      <w:r>
        <w:rPr>
          <w:rFonts w:hint="eastAsia" w:ascii="黑体" w:hAnsi="黑体" w:eastAsia="黑体" w:cs="黑体"/>
          <w:color w:val="auto"/>
          <w:spacing w:val="8"/>
          <w:sz w:val="21"/>
          <w:szCs w:val="21"/>
          <w:lang w:val="en-US" w:eastAsia="zh-CN"/>
        </w:rPr>
        <w:t xml:space="preserve">  照明灯具</w:t>
      </w:r>
      <w:bookmarkEnd w:id="292"/>
      <w:bookmarkEnd w:id="293"/>
      <w:bookmarkEnd w:id="294"/>
      <w:bookmarkEnd w:id="295"/>
      <w:bookmarkEnd w:id="296"/>
      <w:bookmarkEnd w:id="297"/>
      <w:bookmarkEnd w:id="298"/>
      <w:bookmarkEnd w:id="299"/>
      <w:bookmarkEnd w:id="300"/>
      <w:bookmarkEnd w:id="301"/>
      <w:r>
        <w:rPr>
          <w:rFonts w:hint="eastAsia" w:ascii="黑体" w:hAnsi="黑体" w:eastAsia="黑体" w:cs="黑体"/>
          <w:color w:val="auto"/>
          <w:spacing w:val="8"/>
          <w:sz w:val="21"/>
          <w:szCs w:val="21"/>
          <w:lang w:val="en-US" w:eastAsia="zh-CN"/>
        </w:rPr>
        <w:t>和开关、插座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7B24285">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316" w:name="_Toc24037"/>
      <w:r>
        <w:rPr>
          <w:rFonts w:hint="eastAsia" w:ascii="黑体" w:hAnsi="黑体" w:eastAsia="黑体" w:cs="黑体"/>
          <w:color w:val="auto"/>
          <w:spacing w:val="8"/>
          <w:sz w:val="21"/>
          <w:szCs w:val="21"/>
          <w:lang w:val="en-US" w:eastAsia="zh-CN"/>
        </w:rPr>
        <w:t>6.4.1  照明灯具</w:t>
      </w:r>
    </w:p>
    <w:p w14:paraId="50AE48E0">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6.4.1.1  </w:t>
      </w:r>
      <w:r>
        <w:rPr>
          <w:rFonts w:hint="eastAsia" w:ascii="黑体" w:hAnsi="黑体" w:eastAsia="黑体" w:cs="黑体"/>
          <w:color w:val="auto"/>
          <w:spacing w:val="8"/>
          <w:sz w:val="21"/>
          <w:szCs w:val="21"/>
          <w:lang w:val="en-US" w:eastAsia="zh-CN"/>
        </w:rPr>
        <w:t>直观检查</w:t>
      </w:r>
      <w:bookmarkEnd w:id="316"/>
    </w:p>
    <w:p w14:paraId="684763F7">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6.4.1.1.1  </w:t>
      </w:r>
      <w:r>
        <w:rPr>
          <w:rFonts w:hint="eastAsia" w:ascii="宋体" w:hAnsi="宋体" w:eastAsia="宋体" w:cs="宋体"/>
          <w:snapToGrid w:val="0"/>
          <w:color w:val="auto"/>
          <w:kern w:val="0"/>
          <w:sz w:val="21"/>
          <w:szCs w:val="21"/>
          <w:lang w:val="en-US" w:eastAsia="zh-CN" w:bidi="ar"/>
        </w:rPr>
        <w:t>室外场所应采用防护等级不低于IP54的灯具，其他场所采用的灯具应符合GB/T 50034中</w:t>
      </w:r>
      <w:r>
        <w:rPr>
          <w:rFonts w:hint="eastAsia" w:ascii="宋体" w:hAnsi="宋体" w:cs="宋体"/>
          <w:snapToGrid w:val="0"/>
          <w:color w:val="auto"/>
          <w:kern w:val="0"/>
          <w:sz w:val="21"/>
          <w:szCs w:val="21"/>
          <w:lang w:val="en-US" w:eastAsia="zh-CN" w:bidi="ar"/>
        </w:rPr>
        <w:t>第3章</w:t>
      </w:r>
      <w:r>
        <w:rPr>
          <w:rFonts w:hint="eastAsia" w:ascii="宋体" w:hAnsi="宋体" w:eastAsia="宋体" w:cs="宋体"/>
          <w:snapToGrid w:val="0"/>
          <w:color w:val="auto"/>
          <w:kern w:val="0"/>
          <w:sz w:val="21"/>
          <w:szCs w:val="21"/>
          <w:lang w:val="en-US" w:eastAsia="zh-CN" w:bidi="ar"/>
        </w:rPr>
        <w:t>对照明灯具选择的相应规定或相关系统专用灯具的规定。</w:t>
      </w:r>
    </w:p>
    <w:p w14:paraId="1C3E833A">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6.4.1.1.2  </w:t>
      </w:r>
      <w:r>
        <w:rPr>
          <w:rFonts w:hint="eastAsia" w:ascii="宋体" w:hAnsi="宋体" w:eastAsia="宋体" w:cs="宋体"/>
          <w:snapToGrid w:val="0"/>
          <w:color w:val="auto"/>
          <w:kern w:val="0"/>
          <w:sz w:val="21"/>
          <w:szCs w:val="21"/>
          <w:lang w:val="en-US" w:eastAsia="zh-CN" w:bidi="ar"/>
        </w:rPr>
        <w:t>庭院灯、建筑物附属路灯接线盒应采用防护等级不小于IPX5的防水接线盒，盒盖防水密封垫应齐全、完整。</w:t>
      </w:r>
    </w:p>
    <w:p w14:paraId="62A7DCD0">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6.4.1.1.3  </w:t>
      </w:r>
      <w:r>
        <w:rPr>
          <w:rFonts w:hint="eastAsia" w:ascii="宋体" w:hAnsi="宋体" w:eastAsia="宋体" w:cs="宋体"/>
          <w:snapToGrid w:val="0"/>
          <w:color w:val="auto"/>
          <w:kern w:val="0"/>
          <w:sz w:val="21"/>
          <w:szCs w:val="21"/>
          <w:lang w:val="en-US" w:eastAsia="zh-CN" w:bidi="ar"/>
        </w:rPr>
        <w:t>照明灯具上所装的光源，不应超过灯具的额定功率。</w:t>
      </w:r>
    </w:p>
    <w:p w14:paraId="743D97CD">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6.4.1.1.4 </w:t>
      </w:r>
      <w:r>
        <w:rPr>
          <w:rFonts w:hint="eastAsia" w:ascii="宋体" w:hAnsi="宋体" w:eastAsia="宋体" w:cs="宋体"/>
          <w:snapToGrid w:val="0"/>
          <w:color w:val="auto"/>
          <w:kern w:val="0"/>
          <w:sz w:val="21"/>
          <w:szCs w:val="21"/>
          <w:lang w:val="en-US" w:eastAsia="zh-CN" w:bidi="ar"/>
        </w:rPr>
        <w:t xml:space="preserve"> 额定功率不小于60W的</w:t>
      </w:r>
      <w:r>
        <w:rPr>
          <w:rFonts w:hint="eastAsia" w:ascii="宋体" w:hAnsi="宋体" w:cs="宋体"/>
          <w:snapToGrid w:val="0"/>
          <w:color w:val="auto"/>
          <w:kern w:val="0"/>
          <w:sz w:val="21"/>
          <w:szCs w:val="21"/>
          <w:lang w:val="en-US" w:eastAsia="zh-CN" w:bidi="ar"/>
        </w:rPr>
        <w:t>发热灯具（如</w:t>
      </w:r>
      <w:r>
        <w:rPr>
          <w:rFonts w:hint="eastAsia" w:ascii="宋体" w:hAnsi="宋体" w:eastAsia="宋体" w:cs="宋体"/>
          <w:snapToGrid w:val="0"/>
          <w:color w:val="auto"/>
          <w:kern w:val="0"/>
          <w:sz w:val="21"/>
          <w:szCs w:val="21"/>
          <w:lang w:val="en-US" w:eastAsia="zh-CN" w:bidi="ar"/>
        </w:rPr>
        <w:t>卤钨灯、高压钠灯、金属卤化物灯、荧光高压汞灯等)，不应直接安装在可燃材料上，聚光灯的聚光点不应落在可燃物上。</w:t>
      </w:r>
    </w:p>
    <w:p w14:paraId="3C3CE60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6.4.1.1.5 </w:t>
      </w:r>
      <w:r>
        <w:rPr>
          <w:rFonts w:hint="eastAsia" w:ascii="宋体" w:hAnsi="宋体" w:eastAsia="宋体" w:cs="宋体"/>
          <w:snapToGrid w:val="0"/>
          <w:color w:val="auto"/>
          <w:kern w:val="0"/>
          <w:sz w:val="21"/>
          <w:szCs w:val="21"/>
          <w:lang w:val="en-US" w:eastAsia="zh-CN" w:bidi="ar"/>
        </w:rPr>
        <w:t xml:space="preserve"> 卤钨灯和其他发热式吸顶灯、槽灯、嵌入式灯，其引入线应采用瓷管、矿棉等不燃材料作隔热保护。</w:t>
      </w:r>
    </w:p>
    <w:p w14:paraId="13D6DF15">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right="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6.4.1.1.6 </w:t>
      </w:r>
      <w:r>
        <w:rPr>
          <w:rFonts w:hint="eastAsia" w:ascii="宋体" w:hAnsi="宋体" w:eastAsia="宋体" w:cs="宋体"/>
          <w:snapToGrid w:val="0"/>
          <w:color w:val="auto"/>
          <w:kern w:val="0"/>
          <w:sz w:val="21"/>
          <w:szCs w:val="21"/>
          <w:lang w:val="en-US" w:eastAsia="zh-CN" w:bidi="ar"/>
        </w:rPr>
        <w:t xml:space="preserve"> 高压钠灯、金属卤化物灯的电源线应经接线柱连接。</w:t>
      </w:r>
    </w:p>
    <w:p w14:paraId="6D7B569E">
      <w:pPr>
        <w:keepNext w:val="0"/>
        <w:keepLines w:val="0"/>
        <w:widowControl/>
        <w:suppressLineNumbers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6.4.1.1.7</w:t>
      </w:r>
      <w:r>
        <w:rPr>
          <w:rFonts w:hint="eastAsia" w:ascii="宋体" w:hAnsi="宋体" w:eastAsia="宋体" w:cs="宋体"/>
          <w:snapToGrid w:val="0"/>
          <w:color w:val="auto"/>
          <w:kern w:val="0"/>
          <w:sz w:val="21"/>
          <w:szCs w:val="21"/>
          <w:lang w:val="en-US" w:eastAsia="zh-CN" w:bidi="ar"/>
        </w:rPr>
        <w:t xml:space="preserve">  可燃材料仓库内应使用低温照明灯具，并对灯具的发热部件采取隔热等防火措施，不应使用发热的卤钨灯、高压钠灯、金属卤化物灯、荧光高压汞灯等高温照明灯具。</w:t>
      </w:r>
    </w:p>
    <w:p w14:paraId="129C94E2">
      <w:pPr>
        <w:keepNext w:val="0"/>
        <w:keepLines w:val="0"/>
        <w:widowControl/>
        <w:suppressLineNumbers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6.4.1.1.8</w:t>
      </w:r>
      <w:r>
        <w:rPr>
          <w:rFonts w:hint="eastAsia" w:ascii="宋体" w:hAnsi="宋体" w:eastAsia="宋体" w:cs="宋体"/>
          <w:snapToGrid w:val="0"/>
          <w:color w:val="auto"/>
          <w:kern w:val="0"/>
          <w:sz w:val="21"/>
          <w:szCs w:val="21"/>
          <w:lang w:val="en-US" w:eastAsia="zh-CN" w:bidi="ar"/>
        </w:rPr>
        <w:t xml:space="preserve">  灯具表面及其附件的高温部位靠近可燃物时，应采取隔热、散热等防火保护措施。</w:t>
      </w:r>
    </w:p>
    <w:p w14:paraId="582DFA7E">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 xml:space="preserve">6.4.1.1.9 </w:t>
      </w:r>
      <w:r>
        <w:rPr>
          <w:rFonts w:hint="eastAsia" w:ascii="宋体" w:hAnsi="宋体" w:eastAsia="宋体" w:cs="宋体"/>
          <w:snapToGrid w:val="0"/>
          <w:color w:val="auto"/>
          <w:kern w:val="0"/>
          <w:sz w:val="21"/>
          <w:szCs w:val="21"/>
          <w:lang w:val="en-US" w:eastAsia="zh-CN" w:bidi="ar"/>
        </w:rPr>
        <w:t xml:space="preserve"> 建筑物彩灯宜采用LED等节能新型光源，不应采用热辐射光源灯具。</w:t>
      </w:r>
      <w:r>
        <w:rPr>
          <w:rFonts w:hint="default" w:ascii="*KSLWGWQWJR0_19_0" w:hAnsi="*KSLWGWQWJR0_19_0" w:eastAsia="*KSLWGWQWJR0_19_0" w:cs="*KSLWGWQWJR0_19_0"/>
          <w:color w:val="auto"/>
          <w:kern w:val="0"/>
          <w:sz w:val="22"/>
          <w:szCs w:val="22"/>
          <w:lang w:val="en-US" w:eastAsia="zh-CN" w:bidi="ar"/>
        </w:rPr>
        <w:t>应根据建筑物的防雷类别采取相应的防止闪电电涌侵</w:t>
      </w:r>
      <w:r>
        <w:rPr>
          <w:rFonts w:hint="default" w:ascii="*KSLWGWQWJR0_19_0" w:hAnsi="*KSLWGWQWJR0_19_0" w:eastAsia="*KSLWGWQWJR0_19_0" w:cs="*KSLWGWQWJR0_19_0"/>
          <w:color w:val="auto"/>
          <w:kern w:val="0"/>
          <w:sz w:val="21"/>
          <w:szCs w:val="21"/>
          <w:lang w:val="en-US" w:eastAsia="zh-CN" w:bidi="ar"/>
        </w:rPr>
        <w:t>入的措施</w:t>
      </w:r>
      <w:r>
        <w:rPr>
          <w:rFonts w:hint="eastAsia" w:ascii="*KSLWGWQWJR0_19_0" w:hAnsi="*KSLWGWQWJR0_19_0" w:eastAsia="*KSLWGWQWJR0_19_0" w:cs="*KSLWGWQWJR0_19_0"/>
          <w:color w:val="auto"/>
          <w:kern w:val="0"/>
          <w:sz w:val="21"/>
          <w:szCs w:val="21"/>
          <w:lang w:val="en-US" w:eastAsia="zh-CN" w:bidi="ar"/>
        </w:rPr>
        <w:t>。</w:t>
      </w:r>
    </w:p>
    <w:p w14:paraId="5080597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9"/>
        <w:rPr>
          <w:rFonts w:hint="eastAsia" w:ascii="黑体" w:hAnsi="黑体" w:eastAsia="黑体" w:cs="黑体"/>
          <w:snapToGrid w:val="0"/>
          <w:color w:val="auto"/>
          <w:kern w:val="0"/>
          <w:sz w:val="21"/>
          <w:szCs w:val="21"/>
          <w:lang w:val="en-US" w:eastAsia="zh-CN" w:bidi="ar"/>
        </w:rPr>
      </w:pPr>
      <w:bookmarkStart w:id="317" w:name="_Toc11743"/>
      <w:r>
        <w:rPr>
          <w:rFonts w:hint="eastAsia" w:ascii="黑体" w:hAnsi="黑体" w:eastAsia="黑体" w:cs="黑体"/>
          <w:snapToGrid w:val="0"/>
          <w:color w:val="auto"/>
          <w:kern w:val="0"/>
          <w:sz w:val="21"/>
          <w:szCs w:val="21"/>
          <w:lang w:val="en-US" w:eastAsia="zh-CN" w:bidi="ar"/>
        </w:rPr>
        <w:t>6.4.1.2  仪器检测</w:t>
      </w:r>
      <w:bookmarkEnd w:id="317"/>
    </w:p>
    <w:p w14:paraId="0CD0AFB5">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6.4.1.2.1</w:t>
      </w:r>
      <w:r>
        <w:rPr>
          <w:rFonts w:hint="eastAsia" w:ascii="宋体" w:hAnsi="宋体" w:eastAsia="宋体" w:cs="宋体"/>
          <w:snapToGrid w:val="0"/>
          <w:color w:val="auto"/>
          <w:kern w:val="0"/>
          <w:sz w:val="21"/>
          <w:szCs w:val="21"/>
          <w:lang w:val="en-US" w:eastAsia="zh-CN" w:bidi="ar"/>
        </w:rPr>
        <w:t xml:space="preserve">  照明灯具与可燃物之间的安全距离应符合表5的规定</w:t>
      </w:r>
      <w:r>
        <w:rPr>
          <w:rFonts w:hint="eastAsia" w:ascii="宋体" w:hAnsi="宋体" w:cs="宋体"/>
          <w:snapToGrid w:val="0"/>
          <w:color w:val="auto"/>
          <w:kern w:val="0"/>
          <w:sz w:val="21"/>
          <w:szCs w:val="21"/>
          <w:lang w:val="en-US" w:eastAsia="zh-CN" w:bidi="ar"/>
        </w:rPr>
        <w:t>。</w:t>
      </w:r>
    </w:p>
    <w:p w14:paraId="67D8ABFA">
      <w:pPr>
        <w:pStyle w:val="301"/>
        <w:bidi w:val="0"/>
        <w:rPr>
          <w:rFonts w:hint="eastAsia"/>
          <w:color w:val="auto"/>
          <w:lang w:val="en-US" w:eastAsia="zh-CN"/>
        </w:rPr>
      </w:pPr>
      <w:bookmarkStart w:id="318" w:name="_Toc8292"/>
      <w:bookmarkStart w:id="319" w:name="_Toc7570"/>
      <w:bookmarkStart w:id="320" w:name="_Toc18521"/>
      <w:bookmarkStart w:id="321" w:name="_Toc2625"/>
      <w:bookmarkStart w:id="322" w:name="_Toc21274"/>
      <w:bookmarkStart w:id="323" w:name="_Toc6421"/>
      <w:bookmarkStart w:id="324" w:name="_Toc4599"/>
      <w:bookmarkStart w:id="325" w:name="_Toc4671"/>
      <w:bookmarkStart w:id="326" w:name="_Toc8109"/>
      <w:bookmarkStart w:id="327" w:name="_Toc1447"/>
      <w:r>
        <w:rPr>
          <w:rFonts w:hint="eastAsia"/>
          <w:color w:val="auto"/>
          <w:lang w:val="en-US" w:eastAsia="zh-CN"/>
        </w:rPr>
        <w:t>照明灯具与可燃物之间的安全距离</w:t>
      </w:r>
      <w:bookmarkEnd w:id="318"/>
      <w:bookmarkEnd w:id="319"/>
      <w:bookmarkEnd w:id="320"/>
      <w:bookmarkEnd w:id="321"/>
      <w:bookmarkEnd w:id="322"/>
      <w:bookmarkEnd w:id="323"/>
      <w:bookmarkEnd w:id="324"/>
      <w:bookmarkEnd w:id="325"/>
      <w:bookmarkEnd w:id="326"/>
      <w:bookmarkEnd w:id="327"/>
    </w:p>
    <w:tbl>
      <w:tblPr>
        <w:tblStyle w:val="8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43"/>
        <w:gridCol w:w="1205"/>
        <w:gridCol w:w="1379"/>
        <w:gridCol w:w="1526"/>
        <w:gridCol w:w="1214"/>
        <w:gridCol w:w="1577"/>
      </w:tblGrid>
      <w:tr w14:paraId="2EEB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1" w:type="dxa"/>
            <w:vAlign w:val="center"/>
          </w:tcPr>
          <w:p w14:paraId="52D22D8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灯具类型</w:t>
            </w:r>
          </w:p>
        </w:tc>
        <w:tc>
          <w:tcPr>
            <w:tcW w:w="943" w:type="dxa"/>
            <w:vAlign w:val="center"/>
          </w:tcPr>
          <w:p w14:paraId="0A3AB2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普通灯具</w:t>
            </w:r>
          </w:p>
        </w:tc>
        <w:tc>
          <w:tcPr>
            <w:tcW w:w="1205" w:type="dxa"/>
            <w:vAlign w:val="center"/>
          </w:tcPr>
          <w:p w14:paraId="2F33B06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高温灯具</w:t>
            </w:r>
          </w:p>
          <w:p w14:paraId="4FA6DCE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（聚光灯、碘钨灯等）</w:t>
            </w:r>
          </w:p>
        </w:tc>
        <w:tc>
          <w:tcPr>
            <w:tcW w:w="1379" w:type="dxa"/>
            <w:vAlign w:val="center"/>
          </w:tcPr>
          <w:p w14:paraId="6CBF10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影剧院、礼堂用的面光灯、耳光灯</w:t>
            </w:r>
          </w:p>
        </w:tc>
        <w:tc>
          <w:tcPr>
            <w:tcW w:w="1526" w:type="dxa"/>
            <w:vAlign w:val="center"/>
          </w:tcPr>
          <w:p w14:paraId="2A51C1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容量为100W-500W</w:t>
            </w:r>
          </w:p>
          <w:p w14:paraId="15F1DC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c>
          <w:tcPr>
            <w:tcW w:w="1214" w:type="dxa"/>
            <w:vAlign w:val="center"/>
          </w:tcPr>
          <w:p w14:paraId="61D847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容量为501W-2000W</w:t>
            </w:r>
          </w:p>
          <w:p w14:paraId="768182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c>
          <w:tcPr>
            <w:tcW w:w="1577" w:type="dxa"/>
            <w:vAlign w:val="center"/>
          </w:tcPr>
          <w:p w14:paraId="3580AA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容量为2001W以上</w:t>
            </w:r>
          </w:p>
          <w:p w14:paraId="3971EC3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r>
      <w:tr w14:paraId="3785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51" w:type="dxa"/>
            <w:vMerge w:val="restart"/>
            <w:vAlign w:val="center"/>
          </w:tcPr>
          <w:p w14:paraId="457D08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与可燃物之间的安全距离</w:t>
            </w:r>
          </w:p>
          <w:p w14:paraId="28E0B09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cs="宋体"/>
                <w:snapToGrid w:val="0"/>
                <w:color w:val="auto"/>
                <w:kern w:val="0"/>
                <w:sz w:val="18"/>
                <w:szCs w:val="18"/>
                <w:lang w:val="en-US" w:eastAsia="zh-CN" w:bidi="ar"/>
              </w:rPr>
              <w:t>m</w:t>
            </w:r>
          </w:p>
        </w:tc>
        <w:tc>
          <w:tcPr>
            <w:tcW w:w="943" w:type="dxa"/>
            <w:vAlign w:val="center"/>
          </w:tcPr>
          <w:p w14:paraId="6531AD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≥0.3</w:t>
            </w:r>
          </w:p>
        </w:tc>
        <w:tc>
          <w:tcPr>
            <w:tcW w:w="1205" w:type="dxa"/>
            <w:vAlign w:val="center"/>
          </w:tcPr>
          <w:p w14:paraId="5AFF270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1379" w:type="dxa"/>
            <w:vAlign w:val="center"/>
          </w:tcPr>
          <w:p w14:paraId="185841C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1526" w:type="dxa"/>
            <w:vAlign w:val="center"/>
          </w:tcPr>
          <w:p w14:paraId="1E80EF4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1214" w:type="dxa"/>
            <w:vAlign w:val="center"/>
          </w:tcPr>
          <w:p w14:paraId="4E4AF4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≥0.7</w:t>
            </w:r>
          </w:p>
        </w:tc>
        <w:tc>
          <w:tcPr>
            <w:tcW w:w="1577" w:type="dxa"/>
            <w:vAlign w:val="center"/>
          </w:tcPr>
          <w:p w14:paraId="4F0095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≥1.2</w:t>
            </w:r>
          </w:p>
        </w:tc>
      </w:tr>
      <w:tr w14:paraId="0510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51" w:type="dxa"/>
            <w:vMerge w:val="continue"/>
            <w:vAlign w:val="center"/>
          </w:tcPr>
          <w:p w14:paraId="648D3E6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7844" w:type="dxa"/>
            <w:gridSpan w:val="6"/>
            <w:vAlign w:val="center"/>
          </w:tcPr>
          <w:p w14:paraId="66953D7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安全距离不满足上述要求时，应采取隔热、散热等防火措施</w:t>
            </w:r>
          </w:p>
        </w:tc>
      </w:tr>
    </w:tbl>
    <w:p w14:paraId="655F8EB3">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6.4.1.2.2</w:t>
      </w:r>
      <w:r>
        <w:rPr>
          <w:rFonts w:hint="eastAsia" w:ascii="宋体" w:hAnsi="宋体" w:eastAsia="宋体" w:cs="宋体"/>
          <w:snapToGrid w:val="0"/>
          <w:color w:val="auto"/>
          <w:kern w:val="0"/>
          <w:sz w:val="21"/>
          <w:szCs w:val="21"/>
          <w:lang w:val="en-US" w:eastAsia="zh-CN" w:bidi="ar"/>
        </w:rPr>
        <w:t xml:space="preserve">  霓虹灯及其专用变压器的二次侧导线与建筑物、构筑物表面距离应不小于20mm。</w:t>
      </w:r>
    </w:p>
    <w:p w14:paraId="496153A1">
      <w:pPr>
        <w:keepNext w:val="0"/>
        <w:keepLines w:val="0"/>
        <w:pageBreakBefore w:val="0"/>
        <w:widowControl/>
        <w:suppressLineNumbers w:val="0"/>
        <w:kinsoku w:val="0"/>
        <w:wordWrap/>
        <w:overflowPunct/>
        <w:topLinePunct w:val="0"/>
        <w:autoSpaceDE w:val="0"/>
        <w:autoSpaceDN w:val="0"/>
        <w:bidi w:val="0"/>
        <w:adjustRightInd/>
        <w:snapToGrid/>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6.4.1.2.3</w:t>
      </w:r>
      <w:r>
        <w:rPr>
          <w:rFonts w:hint="eastAsia" w:ascii="宋体" w:hAnsi="宋体" w:eastAsia="宋体" w:cs="宋体"/>
          <w:snapToGrid w:val="0"/>
          <w:color w:val="auto"/>
          <w:kern w:val="0"/>
          <w:sz w:val="21"/>
          <w:szCs w:val="21"/>
          <w:lang w:val="en-US" w:eastAsia="zh-CN" w:bidi="ar"/>
        </w:rPr>
        <w:t xml:space="preserve">  照明灯具及其附件应无异常高温和火花放电现象。</w:t>
      </w:r>
    </w:p>
    <w:p w14:paraId="752305B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6.4.2  开关、插座</w:t>
      </w:r>
    </w:p>
    <w:p w14:paraId="3973E5F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6.4.2.1  </w:t>
      </w:r>
      <w:r>
        <w:rPr>
          <w:rFonts w:hint="eastAsia" w:ascii="黑体" w:hAnsi="黑体" w:eastAsia="黑体" w:cs="黑体"/>
          <w:color w:val="auto"/>
          <w:spacing w:val="8"/>
          <w:sz w:val="21"/>
          <w:szCs w:val="21"/>
          <w:lang w:val="en-US" w:eastAsia="zh-CN"/>
        </w:rPr>
        <w:t>直观检查</w:t>
      </w:r>
    </w:p>
    <w:p w14:paraId="07DA79D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6.4.2.1.1  </w:t>
      </w:r>
      <w:r>
        <w:rPr>
          <w:rFonts w:hint="eastAsia" w:ascii="宋体" w:hAnsi="宋体" w:eastAsia="宋体" w:cs="宋体"/>
          <w:snapToGrid w:val="0"/>
          <w:color w:val="auto"/>
          <w:kern w:val="0"/>
          <w:sz w:val="21"/>
          <w:szCs w:val="21"/>
          <w:lang w:val="en-US" w:eastAsia="zh-CN" w:bidi="ar"/>
        </w:rPr>
        <w:t>可燃材料仓库开关应设置在仓库外。</w:t>
      </w:r>
    </w:p>
    <w:p w14:paraId="500979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6.4.2.1.2</w:t>
      </w:r>
      <w:r>
        <w:rPr>
          <w:rFonts w:hint="eastAsia" w:ascii="宋体" w:hAnsi="宋体" w:eastAsia="宋体" w:cs="宋体"/>
          <w:snapToGrid w:val="0"/>
          <w:color w:val="auto"/>
          <w:kern w:val="0"/>
          <w:sz w:val="21"/>
          <w:szCs w:val="21"/>
          <w:lang w:val="en-US" w:eastAsia="zh-CN" w:bidi="ar"/>
        </w:rPr>
        <w:t xml:space="preserve">  当交流、直流或不同电压等级的插座安装在同一场所时，应有明显的区别和标志，且必须选择不同结构、不同规格和不能互换的插座；配套的插头应按交流、直流或不同电压等级区别使用。</w:t>
      </w:r>
    </w:p>
    <w:p w14:paraId="76CFA0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6.4.2.1.3</w:t>
      </w:r>
      <w:r>
        <w:rPr>
          <w:rFonts w:hint="eastAsia" w:ascii="宋体" w:hAnsi="宋体" w:eastAsia="宋体" w:cs="宋体"/>
          <w:snapToGrid w:val="0"/>
          <w:color w:val="auto"/>
          <w:kern w:val="0"/>
          <w:sz w:val="21"/>
          <w:szCs w:val="21"/>
          <w:lang w:val="en-US" w:eastAsia="zh-CN" w:bidi="ar"/>
        </w:rPr>
        <w:t xml:space="preserve">  插座回路应设置剩余电流</w:t>
      </w:r>
      <w:r>
        <w:rPr>
          <w:rFonts w:hint="eastAsia" w:ascii="宋体" w:hAnsi="宋体" w:cs="宋体"/>
          <w:snapToGrid w:val="0"/>
          <w:color w:val="auto"/>
          <w:kern w:val="0"/>
          <w:sz w:val="21"/>
          <w:szCs w:val="21"/>
          <w:lang w:val="en-US" w:eastAsia="zh-CN" w:bidi="ar"/>
        </w:rPr>
        <w:t>动作保护</w:t>
      </w:r>
      <w:r>
        <w:rPr>
          <w:rFonts w:hint="eastAsia" w:ascii="宋体" w:hAnsi="宋体" w:eastAsia="宋体" w:cs="宋体"/>
          <w:snapToGrid w:val="0"/>
          <w:color w:val="auto"/>
          <w:kern w:val="0"/>
          <w:sz w:val="21"/>
          <w:szCs w:val="21"/>
          <w:lang w:val="en-US" w:eastAsia="zh-CN" w:bidi="ar"/>
        </w:rPr>
        <w:t>装置。</w:t>
      </w:r>
    </w:p>
    <w:p w14:paraId="11839D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6.4.2.1.4</w:t>
      </w:r>
      <w:r>
        <w:rPr>
          <w:rFonts w:hint="eastAsia" w:ascii="宋体" w:hAnsi="宋体" w:eastAsia="宋体" w:cs="宋体"/>
          <w:snapToGrid w:val="0"/>
          <w:color w:val="auto"/>
          <w:kern w:val="0"/>
          <w:sz w:val="21"/>
          <w:szCs w:val="21"/>
          <w:lang w:val="en-US" w:eastAsia="zh-CN" w:bidi="ar"/>
        </w:rPr>
        <w:t xml:space="preserve">  导线与插座或开关连接处等应牢固可靠，螺丝应压紧无松动，无烧灼痕迹。</w:t>
      </w:r>
    </w:p>
    <w:p w14:paraId="766B60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6.4.2.1.5</w:t>
      </w:r>
      <w:r>
        <w:rPr>
          <w:rFonts w:hint="eastAsia" w:ascii="宋体" w:hAnsi="宋体" w:eastAsia="宋体" w:cs="宋体"/>
          <w:snapToGrid w:val="0"/>
          <w:color w:val="auto"/>
          <w:kern w:val="0"/>
          <w:sz w:val="21"/>
          <w:szCs w:val="21"/>
          <w:lang w:val="en-US" w:eastAsia="zh-CN" w:bidi="ar"/>
        </w:rPr>
        <w:t xml:space="preserve">  安装在装饰面上的开关、插座，其电线不得裸露在装饰层内。</w:t>
      </w:r>
    </w:p>
    <w:p w14:paraId="038D392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6.4.2.1.6</w:t>
      </w:r>
      <w:r>
        <w:rPr>
          <w:rFonts w:hint="eastAsia" w:ascii="宋体" w:hAnsi="宋体" w:eastAsia="宋体" w:cs="宋体"/>
          <w:snapToGrid w:val="0"/>
          <w:color w:val="auto"/>
          <w:kern w:val="0"/>
          <w:sz w:val="21"/>
          <w:szCs w:val="21"/>
          <w:lang w:val="en-US" w:eastAsia="zh-CN" w:bidi="ar"/>
        </w:rPr>
        <w:t xml:space="preserve">  移动式插座电源线应采用铜芯护套软线，</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具有保护接地线，禁止串接使用及超容量使用。</w:t>
      </w:r>
    </w:p>
    <w:p w14:paraId="1C25CF7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6.4.2.1.7  </w:t>
      </w:r>
      <w:r>
        <w:rPr>
          <w:rFonts w:hint="eastAsia" w:ascii="宋体" w:hAnsi="宋体" w:eastAsia="宋体" w:cs="宋体"/>
          <w:snapToGrid w:val="0"/>
          <w:color w:val="auto"/>
          <w:kern w:val="0"/>
          <w:sz w:val="21"/>
          <w:szCs w:val="21"/>
          <w:lang w:val="en-US" w:eastAsia="zh-CN" w:bidi="ar"/>
        </w:rPr>
        <w:t>落地插座面板应牢固可靠、密封良好。</w:t>
      </w:r>
      <w:r>
        <w:rPr>
          <w:rFonts w:hint="eastAsia" w:ascii="黑体" w:hAnsi="黑体" w:eastAsia="黑体" w:cs="黑体"/>
          <w:snapToGrid w:val="0"/>
          <w:color w:val="auto"/>
          <w:kern w:val="0"/>
          <w:sz w:val="21"/>
          <w:szCs w:val="21"/>
          <w:lang w:val="en-US" w:eastAsia="zh-CN" w:bidi="ar"/>
        </w:rPr>
        <w:t xml:space="preserve"> </w:t>
      </w:r>
    </w:p>
    <w:p w14:paraId="79C38A28">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6.4.2.2  </w:t>
      </w:r>
      <w:r>
        <w:rPr>
          <w:rFonts w:hint="eastAsia" w:ascii="黑体" w:hAnsi="黑体" w:eastAsia="黑体" w:cs="黑体"/>
          <w:color w:val="auto"/>
          <w:spacing w:val="8"/>
          <w:sz w:val="21"/>
          <w:szCs w:val="21"/>
          <w:lang w:val="en-US" w:eastAsia="zh-CN"/>
        </w:rPr>
        <w:t>仪器检测</w:t>
      </w:r>
    </w:p>
    <w:p w14:paraId="166FCF48">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6.4.2.2.1</w:t>
      </w:r>
      <w:r>
        <w:rPr>
          <w:rFonts w:hint="eastAsia" w:ascii="宋体" w:hAnsi="宋体" w:eastAsia="宋体" w:cs="宋体"/>
          <w:snapToGrid w:val="0"/>
          <w:color w:val="auto"/>
          <w:kern w:val="0"/>
          <w:sz w:val="21"/>
          <w:szCs w:val="21"/>
          <w:lang w:val="en-US" w:eastAsia="zh-CN" w:bidi="ar"/>
        </w:rPr>
        <w:t xml:space="preserve">  当设计无要求时，插座底边距地面高度</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不小于0.3m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潮湿场所应采用防溅型插座，安装高度应不低于1.5m。 </w:t>
      </w:r>
    </w:p>
    <w:p w14:paraId="05806872">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6.4.2.2.2</w:t>
      </w:r>
      <w:r>
        <w:rPr>
          <w:rFonts w:hint="eastAsia" w:ascii="宋体" w:hAnsi="宋体" w:eastAsia="宋体" w:cs="宋体"/>
          <w:snapToGrid w:val="0"/>
          <w:color w:val="auto"/>
          <w:kern w:val="0"/>
          <w:sz w:val="21"/>
          <w:szCs w:val="21"/>
          <w:lang w:val="en-US" w:eastAsia="zh-CN" w:bidi="ar"/>
        </w:rPr>
        <w:t xml:space="preserve">  插座、照明开关接线端子、触点温度不应超过表3的规定。</w:t>
      </w:r>
      <w:bookmarkStart w:id="328" w:name="_Toc23827"/>
      <w:bookmarkStart w:id="329" w:name="_Toc19967"/>
      <w:bookmarkStart w:id="330" w:name="_Toc29178"/>
      <w:bookmarkStart w:id="331" w:name="_Toc24467"/>
      <w:bookmarkStart w:id="332" w:name="_Toc14901"/>
      <w:bookmarkStart w:id="333" w:name="_Toc21658"/>
      <w:bookmarkStart w:id="334" w:name="_Toc25129"/>
      <w:bookmarkStart w:id="335" w:name="_Toc19532"/>
      <w:bookmarkStart w:id="336" w:name="_Toc6869"/>
      <w:bookmarkStart w:id="337" w:name="_Toc24635"/>
      <w:bookmarkStart w:id="338" w:name="_Toc19136"/>
      <w:bookmarkStart w:id="339" w:name="_Toc8018"/>
      <w:bookmarkStart w:id="340" w:name="_Toc20441"/>
      <w:bookmarkStart w:id="341" w:name="_Toc31053"/>
      <w:bookmarkStart w:id="342" w:name="_Toc14499"/>
      <w:bookmarkStart w:id="343" w:name="_Toc3522"/>
      <w:bookmarkStart w:id="344" w:name="_Toc23731"/>
      <w:bookmarkStart w:id="345" w:name="_Toc25403"/>
      <w:bookmarkStart w:id="346" w:name="_Toc17065"/>
      <w:bookmarkStart w:id="347" w:name="_Toc1025"/>
      <w:bookmarkStart w:id="348" w:name="_Toc7562"/>
      <w:bookmarkStart w:id="349" w:name="_Toc12455"/>
      <w:bookmarkStart w:id="350" w:name="_Toc27438"/>
      <w:bookmarkStart w:id="351" w:name="_Toc22782"/>
    </w:p>
    <w:p w14:paraId="7FF0116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6.5</w:t>
      </w:r>
      <w:r>
        <w:rPr>
          <w:rFonts w:hint="eastAsia" w:ascii="黑体" w:hAnsi="黑体" w:eastAsia="黑体" w:cs="黑体"/>
          <w:color w:val="auto"/>
          <w:spacing w:val="8"/>
          <w:sz w:val="21"/>
          <w:szCs w:val="21"/>
          <w:lang w:val="en-US" w:eastAsia="zh-CN"/>
        </w:rPr>
        <w:t xml:space="preserve">  常用电器装置</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E4AD6C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3"/>
        <w:rPr>
          <w:rFonts w:hint="eastAsia" w:ascii="黑体" w:hAnsi="黑体" w:eastAsia="黑体" w:cs="黑体"/>
          <w:snapToGrid w:val="0"/>
          <w:color w:val="auto"/>
          <w:kern w:val="0"/>
          <w:sz w:val="21"/>
          <w:szCs w:val="21"/>
          <w:lang w:val="en-US" w:eastAsia="zh-CN" w:bidi="ar"/>
        </w:rPr>
      </w:pPr>
      <w:bookmarkStart w:id="352" w:name="_Toc23766"/>
      <w:r>
        <w:rPr>
          <w:rFonts w:hint="eastAsia" w:ascii="黑体" w:hAnsi="黑体" w:eastAsia="黑体" w:cs="黑体"/>
          <w:snapToGrid w:val="0"/>
          <w:color w:val="auto"/>
          <w:kern w:val="0"/>
          <w:sz w:val="21"/>
          <w:szCs w:val="21"/>
          <w:lang w:val="en-US" w:eastAsia="zh-CN" w:bidi="ar"/>
        </w:rPr>
        <w:t>6.5.1  电动机</w:t>
      </w:r>
      <w:bookmarkEnd w:id="352"/>
    </w:p>
    <w:p w14:paraId="4FBD488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6.5.1.1  直观检查</w:t>
      </w:r>
    </w:p>
    <w:p w14:paraId="364818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6.5.1.1.1</w:t>
      </w:r>
      <w:r>
        <w:rPr>
          <w:rFonts w:hint="eastAsia" w:ascii="宋体" w:hAnsi="宋体" w:eastAsia="宋体" w:cs="宋体"/>
          <w:snapToGrid w:val="0"/>
          <w:color w:val="auto"/>
          <w:kern w:val="0"/>
          <w:sz w:val="21"/>
          <w:szCs w:val="21"/>
          <w:lang w:val="en-US" w:eastAsia="zh-CN" w:bidi="ar"/>
        </w:rPr>
        <w:t xml:space="preserve">  电动机外壳接地应牢固可靠，完好无损。</w:t>
      </w:r>
    </w:p>
    <w:p w14:paraId="77E34A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6.5.1.1.2</w:t>
      </w:r>
      <w:r>
        <w:rPr>
          <w:rFonts w:hint="eastAsia" w:ascii="宋体" w:hAnsi="宋体" w:eastAsia="宋体" w:cs="宋体"/>
          <w:snapToGrid w:val="0"/>
          <w:color w:val="auto"/>
          <w:kern w:val="0"/>
          <w:sz w:val="21"/>
          <w:szCs w:val="21"/>
          <w:lang w:val="en-US" w:eastAsia="zh-CN" w:bidi="ar"/>
        </w:rPr>
        <w:t xml:space="preserve">  电动机应装设短路保护和接地故障保护，并应根据具体情况分别装设过载保护、断相保护和低电压保护。</w:t>
      </w:r>
    </w:p>
    <w:p w14:paraId="1B81A9B3">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left="0" w:right="0"/>
        <w:jc w:val="left"/>
        <w:rPr>
          <w:rFonts w:hint="eastAsia" w:ascii="宋体" w:hAnsi="宋体" w:eastAsia="宋体" w:cs="宋体"/>
          <w:color w:val="auto"/>
          <w:spacing w:val="8"/>
          <w:kern w:val="2"/>
          <w:sz w:val="21"/>
          <w:szCs w:val="21"/>
          <w:lang w:val="en-US" w:eastAsia="zh-CN" w:bidi="ar-SA"/>
        </w:rPr>
      </w:pPr>
      <w:r>
        <w:rPr>
          <w:rFonts w:hint="eastAsia" w:ascii="黑体" w:hAnsi="黑体" w:eastAsia="黑体" w:cs="黑体"/>
          <w:snapToGrid w:val="0"/>
          <w:color w:val="auto"/>
          <w:kern w:val="0"/>
          <w:sz w:val="21"/>
          <w:szCs w:val="21"/>
          <w:lang w:val="en-US" w:eastAsia="zh-CN" w:bidi="ar"/>
        </w:rPr>
        <w:t>6.5.1.1.3</w:t>
      </w:r>
      <w:r>
        <w:rPr>
          <w:rFonts w:hint="eastAsia" w:ascii="宋体" w:hAnsi="宋体" w:eastAsia="宋体" w:cs="宋体"/>
          <w:snapToGrid w:val="0"/>
          <w:color w:val="auto"/>
          <w:kern w:val="0"/>
          <w:sz w:val="21"/>
          <w:szCs w:val="21"/>
          <w:lang w:val="en-US" w:eastAsia="zh-CN" w:bidi="ar"/>
        </w:rPr>
        <w:t xml:space="preserve">  电动机及控制柜各接线端子应接触良好、无松动；电气元器件直观应整洁齐全，触头应无熔焊粘连变形和严重氧化锈蚀等痕迹</w:t>
      </w:r>
      <w:r>
        <w:rPr>
          <w:rFonts w:hint="eastAsia" w:ascii="宋体" w:hAnsi="宋体" w:eastAsia="宋体" w:cs="宋体"/>
          <w:color w:val="auto"/>
          <w:spacing w:val="8"/>
          <w:kern w:val="2"/>
          <w:sz w:val="21"/>
          <w:szCs w:val="21"/>
          <w:lang w:val="en-US" w:eastAsia="zh-CN" w:bidi="ar-SA"/>
        </w:rPr>
        <w:t>。</w:t>
      </w:r>
    </w:p>
    <w:p w14:paraId="47C79A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6.5.1.1.4</w:t>
      </w:r>
      <w:r>
        <w:rPr>
          <w:rFonts w:hint="eastAsia" w:ascii="宋体" w:hAnsi="宋体" w:eastAsia="宋体" w:cs="宋体"/>
          <w:snapToGrid w:val="0"/>
          <w:color w:val="auto"/>
          <w:kern w:val="0"/>
          <w:sz w:val="21"/>
          <w:szCs w:val="21"/>
          <w:lang w:val="en-US" w:eastAsia="zh-CN" w:bidi="ar"/>
        </w:rPr>
        <w:t xml:space="preserve">  电动机运行时应无异常声响。</w:t>
      </w:r>
    </w:p>
    <w:p w14:paraId="0BA537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电动机空气冷却装置运转应正常。</w:t>
      </w:r>
    </w:p>
    <w:p w14:paraId="0C9A81A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6.5.1.2  仪器检测</w:t>
      </w:r>
    </w:p>
    <w:p w14:paraId="5AB44129">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6.5.1.2.1</w:t>
      </w:r>
      <w:r>
        <w:rPr>
          <w:rFonts w:hint="eastAsia" w:ascii="宋体" w:hAnsi="宋体" w:eastAsia="宋体" w:cs="宋体"/>
          <w:snapToGrid w:val="0"/>
          <w:color w:val="auto"/>
          <w:kern w:val="0"/>
          <w:sz w:val="21"/>
          <w:szCs w:val="21"/>
          <w:lang w:val="en-US" w:eastAsia="zh-CN" w:bidi="ar"/>
        </w:rPr>
        <w:t xml:space="preserve">  电动机各部分的最高允许温度不应超过制造商的规定。</w:t>
      </w:r>
    </w:p>
    <w:p w14:paraId="7FF9B9FA">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6.5.1.2.2  </w:t>
      </w:r>
      <w:r>
        <w:rPr>
          <w:rFonts w:hint="eastAsia" w:ascii="宋体" w:hAnsi="宋体" w:eastAsia="宋体" w:cs="宋体"/>
          <w:snapToGrid w:val="0"/>
          <w:color w:val="auto"/>
          <w:kern w:val="0"/>
          <w:sz w:val="21"/>
          <w:szCs w:val="21"/>
          <w:lang w:val="en-US" w:eastAsia="zh-CN" w:bidi="ar"/>
        </w:rPr>
        <w:t>电动机滑动轴承的温度不应超过80℃，滚动轴承的温度不应超过95℃。</w:t>
      </w:r>
    </w:p>
    <w:p w14:paraId="46AEE3E2">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6.5.1.2.3 </w:t>
      </w:r>
      <w:r>
        <w:rPr>
          <w:rFonts w:hint="eastAsia" w:ascii="宋体" w:hAnsi="宋体" w:eastAsia="宋体" w:cs="宋体"/>
          <w:snapToGrid w:val="0"/>
          <w:color w:val="auto"/>
          <w:kern w:val="0"/>
          <w:sz w:val="21"/>
          <w:szCs w:val="21"/>
          <w:lang w:val="en-US" w:eastAsia="zh-CN" w:bidi="ar"/>
        </w:rPr>
        <w:t xml:space="preserve"> 电气元器件的触头，接线端子等的温度，不应超过表3中的数值。</w:t>
      </w:r>
    </w:p>
    <w:p w14:paraId="1F02A5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6.5.1.2.4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电动机电气连接点、壳体等不应有打火放电现象。</w:t>
      </w:r>
    </w:p>
    <w:p w14:paraId="22AE738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3"/>
        <w:rPr>
          <w:rFonts w:hint="eastAsia" w:ascii="黑体" w:hAnsi="黑体" w:eastAsia="黑体" w:cs="黑体"/>
          <w:snapToGrid w:val="0"/>
          <w:color w:val="auto"/>
          <w:kern w:val="0"/>
          <w:sz w:val="21"/>
          <w:szCs w:val="21"/>
          <w:lang w:val="en-US" w:eastAsia="zh-CN" w:bidi="ar"/>
        </w:rPr>
      </w:pPr>
      <w:bookmarkStart w:id="353" w:name="_Toc10425"/>
      <w:r>
        <w:rPr>
          <w:rFonts w:hint="eastAsia" w:ascii="黑体" w:hAnsi="黑体" w:eastAsia="黑体" w:cs="黑体"/>
          <w:snapToGrid w:val="0"/>
          <w:color w:val="auto"/>
          <w:kern w:val="0"/>
          <w:sz w:val="21"/>
          <w:szCs w:val="21"/>
          <w:lang w:val="en-US" w:eastAsia="zh-CN" w:bidi="ar"/>
        </w:rPr>
        <w:t>6.5.2  稳压整流设备</w:t>
      </w:r>
      <w:bookmarkEnd w:id="353"/>
    </w:p>
    <w:p w14:paraId="61C6F78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6.5.2.1  直观检查</w:t>
      </w:r>
    </w:p>
    <w:p w14:paraId="077F12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6.5.2.1.1 </w:t>
      </w:r>
      <w:r>
        <w:rPr>
          <w:rFonts w:hint="eastAsia" w:ascii="宋体" w:hAnsi="宋体" w:eastAsia="宋体" w:cs="宋体"/>
          <w:snapToGrid w:val="0"/>
          <w:color w:val="auto"/>
          <w:kern w:val="0"/>
          <w:sz w:val="21"/>
          <w:szCs w:val="21"/>
          <w:lang w:val="en-US" w:eastAsia="zh-CN" w:bidi="ar"/>
        </w:rPr>
        <w:t xml:space="preserve"> 柜体内导线连接应良好、无松动；焊接连接的导线应无脱焊、虚焊、碰壳及短路。</w:t>
      </w:r>
    </w:p>
    <w:p w14:paraId="0F471B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6.5.2.1.2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用于整流器保护的快速熔断器的型号和规格，应符合设计规定，不得任意调换或代用。</w:t>
      </w:r>
    </w:p>
    <w:p w14:paraId="68E0ED8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6.5.2.1.3</w:t>
      </w:r>
      <w:r>
        <w:rPr>
          <w:rFonts w:hint="eastAsia" w:ascii="宋体" w:hAnsi="宋体" w:eastAsia="宋体" w:cs="宋体"/>
          <w:snapToGrid w:val="0"/>
          <w:color w:val="auto"/>
          <w:kern w:val="0"/>
          <w:sz w:val="21"/>
          <w:szCs w:val="21"/>
          <w:lang w:val="en-US" w:eastAsia="zh-CN" w:bidi="ar"/>
        </w:rPr>
        <w:t xml:space="preserve">  整流器的冷却系统应运转正常。</w:t>
      </w:r>
    </w:p>
    <w:p w14:paraId="100F0F7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ind w:firstLine="0" w:firstLineChars="0"/>
        <w:jc w:val="left"/>
        <w:textAlignment w:val="baseline"/>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6.5.2.2  仪器检测</w:t>
      </w:r>
    </w:p>
    <w:p w14:paraId="3AD914E6">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6.5.2.2.1</w:t>
      </w:r>
      <w:r>
        <w:rPr>
          <w:rFonts w:hint="eastAsia" w:ascii="宋体" w:hAnsi="宋体" w:eastAsia="宋体" w:cs="宋体"/>
          <w:snapToGrid w:val="0"/>
          <w:color w:val="auto"/>
          <w:kern w:val="0"/>
          <w:sz w:val="21"/>
          <w:szCs w:val="21"/>
          <w:lang w:val="en-US" w:eastAsia="zh-CN" w:bidi="ar"/>
        </w:rPr>
        <w:t xml:space="preserve">  测量整流变压器的线圈温升不应大于60℃。</w:t>
      </w:r>
    </w:p>
    <w:p w14:paraId="1F4FD16F">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6.5.2.2.2</w:t>
      </w:r>
      <w:r>
        <w:rPr>
          <w:rFonts w:hint="eastAsia" w:ascii="宋体" w:hAnsi="宋体" w:eastAsia="宋体" w:cs="宋体"/>
          <w:snapToGrid w:val="0"/>
          <w:color w:val="auto"/>
          <w:kern w:val="0"/>
          <w:sz w:val="21"/>
          <w:szCs w:val="21"/>
          <w:lang w:val="en-US" w:eastAsia="zh-CN" w:bidi="ar"/>
        </w:rPr>
        <w:t xml:space="preserve">  测量各种导线、母线及其连接点和接线端子温度，应符合表3</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表4</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表</w:t>
      </w:r>
      <w:r>
        <w:rPr>
          <w:rFonts w:hint="eastAsia" w:ascii="宋体" w:hAnsi="宋体" w:cs="宋体"/>
          <w:snapToGrid w:val="0"/>
          <w:color w:val="auto"/>
          <w:kern w:val="0"/>
          <w:sz w:val="21"/>
          <w:szCs w:val="21"/>
          <w:lang w:val="en-US" w:eastAsia="zh-CN" w:bidi="ar"/>
        </w:rPr>
        <w:t>6</w:t>
      </w:r>
      <w:r>
        <w:rPr>
          <w:rFonts w:hint="eastAsia" w:ascii="宋体" w:hAnsi="宋体" w:eastAsia="宋体" w:cs="宋体"/>
          <w:snapToGrid w:val="0"/>
          <w:color w:val="auto"/>
          <w:kern w:val="0"/>
          <w:sz w:val="21"/>
          <w:szCs w:val="21"/>
          <w:lang w:val="en-US" w:eastAsia="zh-CN" w:bidi="ar"/>
        </w:rPr>
        <w:t>的规定。</w:t>
      </w:r>
    </w:p>
    <w:p w14:paraId="73279F3D">
      <w:pPr>
        <w:pStyle w:val="301"/>
        <w:bidi w:val="0"/>
        <w:rPr>
          <w:rFonts w:hint="eastAsia"/>
          <w:color w:val="auto"/>
          <w:lang w:val="en-US" w:eastAsia="zh-CN"/>
        </w:rPr>
      </w:pPr>
      <w:bookmarkStart w:id="354" w:name="_Toc13692"/>
      <w:bookmarkStart w:id="355" w:name="_Toc6307"/>
      <w:bookmarkStart w:id="356" w:name="_Toc24392"/>
      <w:bookmarkStart w:id="357" w:name="_Toc11673"/>
      <w:bookmarkStart w:id="358" w:name="_Toc22166"/>
      <w:bookmarkStart w:id="359" w:name="_Toc31319"/>
      <w:bookmarkStart w:id="360" w:name="_Toc8513"/>
      <w:bookmarkStart w:id="361" w:name="_Toc21488"/>
      <w:bookmarkStart w:id="362" w:name="_Toc18159"/>
      <w:bookmarkStart w:id="363" w:name="_Toc5125"/>
      <w:r>
        <w:rPr>
          <w:rFonts w:hint="eastAsia"/>
          <w:color w:val="auto"/>
          <w:lang w:val="en-US" w:eastAsia="zh-CN"/>
        </w:rPr>
        <w:t>交流低压母线各部位的允许温升</w:t>
      </w:r>
      <w:bookmarkEnd w:id="354"/>
      <w:bookmarkEnd w:id="355"/>
      <w:bookmarkEnd w:id="356"/>
      <w:bookmarkEnd w:id="357"/>
      <w:bookmarkEnd w:id="358"/>
      <w:bookmarkEnd w:id="359"/>
      <w:bookmarkEnd w:id="360"/>
      <w:bookmarkEnd w:id="361"/>
      <w:bookmarkEnd w:id="362"/>
      <w:bookmarkEnd w:id="363"/>
    </w:p>
    <w:tbl>
      <w:tblPr>
        <w:tblStyle w:val="89"/>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009"/>
        <w:gridCol w:w="4347"/>
      </w:tblGrid>
      <w:tr w14:paraId="1571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2" w:type="dxa"/>
            <w:gridSpan w:val="2"/>
            <w:vAlign w:val="center"/>
          </w:tcPr>
          <w:p w14:paraId="00BF02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部      位</w:t>
            </w:r>
          </w:p>
        </w:tc>
        <w:tc>
          <w:tcPr>
            <w:tcW w:w="4347" w:type="dxa"/>
            <w:vAlign w:val="center"/>
          </w:tcPr>
          <w:p w14:paraId="1221320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周围空气温度为40℃的允许温升</w:t>
            </w:r>
          </w:p>
          <w:p w14:paraId="2F2BA84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w:t>
            </w:r>
          </w:p>
        </w:tc>
      </w:tr>
      <w:tr w14:paraId="7440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restart"/>
            <w:vAlign w:val="center"/>
          </w:tcPr>
          <w:p w14:paraId="635155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母线上插接式触点</w:t>
            </w:r>
          </w:p>
        </w:tc>
        <w:tc>
          <w:tcPr>
            <w:tcW w:w="3009" w:type="dxa"/>
            <w:vAlign w:val="center"/>
          </w:tcPr>
          <w:p w14:paraId="137058A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铜母线</w:t>
            </w:r>
          </w:p>
        </w:tc>
        <w:tc>
          <w:tcPr>
            <w:tcW w:w="4347" w:type="dxa"/>
            <w:vAlign w:val="center"/>
          </w:tcPr>
          <w:p w14:paraId="6EE182E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60</w:t>
            </w:r>
          </w:p>
        </w:tc>
      </w:tr>
      <w:tr w14:paraId="65CF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vAlign w:val="center"/>
          </w:tcPr>
          <w:p w14:paraId="24706D0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3009" w:type="dxa"/>
            <w:vAlign w:val="center"/>
          </w:tcPr>
          <w:p w14:paraId="0A8AB54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镀锡铝母线</w:t>
            </w:r>
          </w:p>
        </w:tc>
        <w:tc>
          <w:tcPr>
            <w:tcW w:w="4347" w:type="dxa"/>
            <w:vAlign w:val="center"/>
          </w:tcPr>
          <w:p w14:paraId="2CD083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r w14:paraId="189A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restart"/>
            <w:vAlign w:val="center"/>
          </w:tcPr>
          <w:p w14:paraId="21BF3E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母线相互连接处</w:t>
            </w:r>
          </w:p>
        </w:tc>
        <w:tc>
          <w:tcPr>
            <w:tcW w:w="3009" w:type="dxa"/>
            <w:vAlign w:val="center"/>
          </w:tcPr>
          <w:p w14:paraId="3E4A67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铜--铜</w:t>
            </w:r>
          </w:p>
        </w:tc>
        <w:tc>
          <w:tcPr>
            <w:tcW w:w="4347" w:type="dxa"/>
            <w:vAlign w:val="center"/>
          </w:tcPr>
          <w:p w14:paraId="0BEAEA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50</w:t>
            </w:r>
          </w:p>
        </w:tc>
      </w:tr>
      <w:tr w14:paraId="1147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vAlign w:val="center"/>
          </w:tcPr>
          <w:p w14:paraId="02662C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3009" w:type="dxa"/>
            <w:vAlign w:val="center"/>
          </w:tcPr>
          <w:p w14:paraId="052247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铜搪锡--铜搪锡</w:t>
            </w:r>
          </w:p>
        </w:tc>
        <w:tc>
          <w:tcPr>
            <w:tcW w:w="4347" w:type="dxa"/>
            <w:vAlign w:val="center"/>
          </w:tcPr>
          <w:p w14:paraId="799E63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60</w:t>
            </w:r>
          </w:p>
        </w:tc>
      </w:tr>
      <w:tr w14:paraId="66B3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vAlign w:val="center"/>
          </w:tcPr>
          <w:p w14:paraId="76750A1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3009" w:type="dxa"/>
            <w:vAlign w:val="center"/>
          </w:tcPr>
          <w:p w14:paraId="5EBFCB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铜镀银--铝搪锡</w:t>
            </w:r>
          </w:p>
        </w:tc>
        <w:tc>
          <w:tcPr>
            <w:tcW w:w="4347" w:type="dxa"/>
            <w:vAlign w:val="center"/>
          </w:tcPr>
          <w:p w14:paraId="3825FAE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80</w:t>
            </w:r>
          </w:p>
        </w:tc>
      </w:tr>
      <w:tr w14:paraId="5BF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vAlign w:val="center"/>
          </w:tcPr>
          <w:p w14:paraId="0865A8F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3009" w:type="dxa"/>
            <w:vAlign w:val="center"/>
          </w:tcPr>
          <w:p w14:paraId="098F00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铝搪锡--铝搪锡</w:t>
            </w:r>
          </w:p>
        </w:tc>
        <w:tc>
          <w:tcPr>
            <w:tcW w:w="4347" w:type="dxa"/>
            <w:vAlign w:val="center"/>
          </w:tcPr>
          <w:p w14:paraId="553C49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r w14:paraId="41E8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dxa"/>
            <w:vMerge w:val="continue"/>
            <w:vAlign w:val="center"/>
          </w:tcPr>
          <w:p w14:paraId="4866049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3009" w:type="dxa"/>
            <w:vAlign w:val="center"/>
          </w:tcPr>
          <w:p w14:paraId="1AB68DC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铝搪锡--铜搪锡</w:t>
            </w:r>
          </w:p>
        </w:tc>
        <w:tc>
          <w:tcPr>
            <w:tcW w:w="4347" w:type="dxa"/>
            <w:vAlign w:val="center"/>
          </w:tcPr>
          <w:p w14:paraId="092D51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bl>
    <w:p w14:paraId="332AFA61">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364" w:name="_Toc18859"/>
      <w:r>
        <w:rPr>
          <w:rFonts w:hint="eastAsia" w:ascii="黑体" w:hAnsi="黑体" w:eastAsia="黑体" w:cs="黑体"/>
          <w:color w:val="auto"/>
          <w:spacing w:val="8"/>
          <w:sz w:val="21"/>
          <w:szCs w:val="21"/>
          <w:lang w:val="en-US" w:eastAsia="zh-CN"/>
        </w:rPr>
        <w:t>6.5.3  电热器具</w:t>
      </w:r>
      <w:bookmarkEnd w:id="364"/>
    </w:p>
    <w:p w14:paraId="5D688C2E">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6.5.3.1  直观检查</w:t>
      </w:r>
    </w:p>
    <w:p w14:paraId="16EFDB4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6.5.3.1.1 </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功率为</w:t>
      </w:r>
      <w:r>
        <w:rPr>
          <w:rFonts w:hint="eastAsia" w:ascii="宋体" w:hAnsi="宋体" w:eastAsia="宋体" w:cs="宋体"/>
          <w:snapToGrid w:val="0"/>
          <w:color w:val="auto"/>
          <w:kern w:val="0"/>
          <w:sz w:val="21"/>
          <w:szCs w:val="21"/>
          <w:lang w:val="en-US" w:eastAsia="zh-CN" w:bidi="ar"/>
        </w:rPr>
        <w:t>3kW</w:t>
      </w:r>
      <w:r>
        <w:rPr>
          <w:rFonts w:hint="eastAsia" w:ascii="宋体" w:hAnsi="宋体" w:cs="宋体"/>
          <w:snapToGrid w:val="0"/>
          <w:color w:val="auto"/>
          <w:kern w:val="0"/>
          <w:sz w:val="21"/>
          <w:szCs w:val="21"/>
          <w:lang w:val="en-US" w:eastAsia="zh-CN" w:bidi="ar"/>
        </w:rPr>
        <w:t>及以上</w:t>
      </w:r>
      <w:r>
        <w:rPr>
          <w:rFonts w:hint="eastAsia" w:ascii="宋体" w:hAnsi="宋体" w:eastAsia="宋体" w:cs="宋体"/>
          <w:snapToGrid w:val="0"/>
          <w:color w:val="auto"/>
          <w:kern w:val="0"/>
          <w:sz w:val="21"/>
          <w:szCs w:val="21"/>
          <w:lang w:val="en-US" w:eastAsia="zh-CN" w:bidi="ar"/>
        </w:rPr>
        <w:t>的固定式电热器具</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应符合下列规定：</w:t>
      </w:r>
    </w:p>
    <w:p w14:paraId="146C32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840" w:leftChars="200"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  电热器具应采用单独回路供电，电源线应装设短路、过载及接地故障保护电器；导线和热元件的接线处应紧固，引入线处应采用耐高温的绝缘材料予以保护；</w:t>
      </w:r>
    </w:p>
    <w:p w14:paraId="3133256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b)  电热器具的电源线，装设刀开关和短路保护电器处，其可触及的外露导电部分应接地。</w:t>
      </w:r>
    </w:p>
    <w:p w14:paraId="230B8DBF">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6.5.3.1.2 </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功率为</w:t>
      </w:r>
      <w:r>
        <w:rPr>
          <w:rFonts w:hint="eastAsia" w:ascii="宋体" w:hAnsi="宋体" w:eastAsia="宋体" w:cs="宋体"/>
          <w:snapToGrid w:val="0"/>
          <w:color w:val="auto"/>
          <w:kern w:val="0"/>
          <w:sz w:val="21"/>
          <w:szCs w:val="21"/>
          <w:lang w:val="en-US" w:eastAsia="zh-CN" w:bidi="ar"/>
        </w:rPr>
        <w:t>3kW以下</w:t>
      </w:r>
      <w:r>
        <w:rPr>
          <w:rFonts w:hint="eastAsia" w:ascii="宋体" w:hAnsi="宋体" w:cs="宋体"/>
          <w:snapToGrid w:val="0"/>
          <w:color w:val="auto"/>
          <w:kern w:val="0"/>
          <w:sz w:val="21"/>
          <w:szCs w:val="21"/>
          <w:lang w:val="en-US" w:eastAsia="zh-CN" w:bidi="ar"/>
        </w:rPr>
        <w:t>的</w:t>
      </w:r>
      <w:r>
        <w:rPr>
          <w:rFonts w:hint="eastAsia" w:ascii="宋体" w:hAnsi="宋体" w:eastAsia="宋体" w:cs="宋体"/>
          <w:snapToGrid w:val="0"/>
          <w:color w:val="auto"/>
          <w:kern w:val="0"/>
          <w:sz w:val="21"/>
          <w:szCs w:val="21"/>
          <w:lang w:val="en-US" w:eastAsia="zh-CN" w:bidi="ar"/>
        </w:rPr>
        <w:t>可移动式电热器具</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应放在不燃材料制作的工作台上，应采用专用插座，引出线应采用石棉、瓷管等耐高温绝缘套管保护。</w:t>
      </w:r>
    </w:p>
    <w:p w14:paraId="7F102FFB">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.5.3.2  仪器检测</w:t>
      </w:r>
    </w:p>
    <w:p w14:paraId="2BF8AFDB">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6.5.3.2.1</w:t>
      </w:r>
      <w:r>
        <w:rPr>
          <w:rFonts w:hint="eastAsia" w:ascii="宋体" w:hAnsi="宋体" w:eastAsia="宋体" w:cs="宋体"/>
          <w:snapToGrid w:val="0"/>
          <w:color w:val="auto"/>
          <w:kern w:val="0"/>
          <w:sz w:val="21"/>
          <w:szCs w:val="21"/>
          <w:lang w:val="en-US" w:eastAsia="zh-CN" w:bidi="ar"/>
        </w:rPr>
        <w:t xml:space="preserve">  电源线的温升不应超过表4中规定的数值。</w:t>
      </w:r>
    </w:p>
    <w:p w14:paraId="460AB5A5">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6.5.3.2.2 </w:t>
      </w:r>
      <w:r>
        <w:rPr>
          <w:rFonts w:hint="eastAsia" w:ascii="宋体" w:hAnsi="宋体" w:eastAsia="宋体" w:cs="宋体"/>
          <w:snapToGrid w:val="0"/>
          <w:color w:val="auto"/>
          <w:kern w:val="0"/>
          <w:sz w:val="21"/>
          <w:szCs w:val="21"/>
          <w:lang w:val="en-US" w:eastAsia="zh-CN" w:bidi="ar"/>
        </w:rPr>
        <w:t xml:space="preserve"> 电源插座、开关电器触点温升不应超过表3中规定的数值。</w:t>
      </w:r>
    </w:p>
    <w:p w14:paraId="624BDF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6.5.3.2.3 </w:t>
      </w:r>
      <w:r>
        <w:rPr>
          <w:rFonts w:hint="eastAsia" w:ascii="宋体" w:hAnsi="宋体" w:eastAsia="宋体" w:cs="宋体"/>
          <w:snapToGrid w:val="0"/>
          <w:color w:val="auto"/>
          <w:kern w:val="0"/>
          <w:sz w:val="21"/>
          <w:szCs w:val="21"/>
          <w:lang w:val="en-US" w:eastAsia="zh-CN" w:bidi="ar"/>
        </w:rPr>
        <w:t xml:space="preserve"> 电源线电流不应超过允许载流量。</w:t>
      </w:r>
    </w:p>
    <w:p w14:paraId="1FD2156F">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365" w:name="_Toc14647"/>
      <w:r>
        <w:rPr>
          <w:rFonts w:hint="eastAsia" w:ascii="黑体" w:hAnsi="黑体" w:eastAsia="黑体" w:cs="黑体"/>
          <w:color w:val="auto"/>
          <w:spacing w:val="8"/>
          <w:sz w:val="21"/>
          <w:szCs w:val="21"/>
          <w:lang w:val="en-US" w:eastAsia="zh-CN"/>
        </w:rPr>
        <w:t>6.5.4  空调设备</w:t>
      </w:r>
      <w:bookmarkEnd w:id="365"/>
    </w:p>
    <w:p w14:paraId="1DBBC8E3">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6.5.4.1  直观检查</w:t>
      </w:r>
    </w:p>
    <w:p w14:paraId="27B87AB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6.5.4.1.1</w:t>
      </w:r>
      <w:r>
        <w:rPr>
          <w:rFonts w:hint="eastAsia" w:ascii="宋体" w:hAnsi="宋体" w:eastAsia="宋体" w:cs="宋体"/>
          <w:snapToGrid w:val="0"/>
          <w:color w:val="auto"/>
          <w:kern w:val="0"/>
          <w:sz w:val="21"/>
          <w:szCs w:val="21"/>
          <w:lang w:val="en-US" w:eastAsia="zh-CN" w:bidi="ar"/>
        </w:rPr>
        <w:t xml:space="preserve">  空调器应单独供电，电源线应设置短路、过载保护，其电源插头容量应与插座容量相匹配。</w:t>
      </w:r>
    </w:p>
    <w:p w14:paraId="57027E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6.5.4.1.2 </w:t>
      </w:r>
      <w:r>
        <w:rPr>
          <w:rFonts w:hint="eastAsia" w:ascii="宋体" w:hAnsi="宋体" w:eastAsia="宋体" w:cs="宋体"/>
          <w:snapToGrid w:val="0"/>
          <w:color w:val="auto"/>
          <w:kern w:val="0"/>
          <w:sz w:val="21"/>
          <w:szCs w:val="21"/>
          <w:lang w:val="en-US" w:eastAsia="zh-CN" w:bidi="ar"/>
        </w:rPr>
        <w:t xml:space="preserve"> 分体式空调穿墙管路应选择不燃或难燃材料套管保护，室内机体接线端子板处接线牢固、整齐、正确。</w:t>
      </w:r>
    </w:p>
    <w:p w14:paraId="3A07F46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6.5.4.1.3</w:t>
      </w:r>
      <w:r>
        <w:rPr>
          <w:rFonts w:hint="eastAsia" w:ascii="宋体" w:hAnsi="宋体" w:eastAsia="宋体" w:cs="宋体"/>
          <w:snapToGrid w:val="0"/>
          <w:color w:val="auto"/>
          <w:kern w:val="0"/>
          <w:sz w:val="21"/>
          <w:szCs w:val="21"/>
          <w:lang w:val="en-US" w:eastAsia="zh-CN" w:bidi="ar"/>
        </w:rPr>
        <w:t xml:space="preserve">  空调器不应安装在可燃结构上，其设备周围不应堆放可燃物。</w:t>
      </w:r>
    </w:p>
    <w:p w14:paraId="0ABF8C7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6.5.4.1.4 </w:t>
      </w:r>
      <w:r>
        <w:rPr>
          <w:rFonts w:hint="eastAsia" w:ascii="宋体" w:hAnsi="宋体" w:eastAsia="宋体" w:cs="宋体"/>
          <w:snapToGrid w:val="0"/>
          <w:color w:val="auto"/>
          <w:kern w:val="0"/>
          <w:sz w:val="21"/>
          <w:szCs w:val="21"/>
          <w:lang w:val="en-US" w:eastAsia="zh-CN" w:bidi="ar"/>
        </w:rPr>
        <w:t xml:space="preserve"> 空调器具压缩机、风扇电机应无异常声响，无火花电弧放电现象。</w:t>
      </w:r>
    </w:p>
    <w:p w14:paraId="0BAD0414">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.5.4.2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14:paraId="192CC88A">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空调电源线插头和插座接触良好，温度不超过表3中的规定。</w:t>
      </w:r>
    </w:p>
    <w:p w14:paraId="0026674A">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2"/>
        <w:rPr>
          <w:rFonts w:hint="eastAsia" w:ascii="宋体" w:hAnsi="宋体" w:eastAsia="宋体" w:cs="宋体"/>
          <w:color w:val="auto"/>
          <w:spacing w:val="11"/>
          <w:sz w:val="21"/>
          <w:szCs w:val="21"/>
          <w:lang w:val="en-US" w:eastAsia="zh-CN"/>
        </w:rPr>
      </w:pPr>
      <w:bookmarkStart w:id="366" w:name="_Toc19147"/>
      <w:bookmarkStart w:id="367" w:name="_Toc7006"/>
      <w:bookmarkStart w:id="368" w:name="_Toc5132"/>
      <w:bookmarkStart w:id="369" w:name="_Toc21960"/>
      <w:bookmarkStart w:id="370" w:name="_Toc5800"/>
      <w:bookmarkStart w:id="371" w:name="_Toc7368"/>
      <w:bookmarkStart w:id="372" w:name="_Toc4768"/>
      <w:bookmarkStart w:id="373" w:name="_Toc9629"/>
      <w:bookmarkStart w:id="374" w:name="_Toc6221"/>
      <w:bookmarkStart w:id="375" w:name="_Toc22538"/>
      <w:bookmarkStart w:id="376" w:name="_Toc1339"/>
      <w:bookmarkStart w:id="377" w:name="_Toc6023"/>
      <w:bookmarkStart w:id="378" w:name="_Toc19056"/>
      <w:bookmarkStart w:id="379" w:name="_Toc7020"/>
      <w:bookmarkStart w:id="380" w:name="_Toc8519"/>
      <w:bookmarkStart w:id="381" w:name="_Toc6593"/>
      <w:bookmarkStart w:id="382" w:name="_Toc5116"/>
      <w:bookmarkStart w:id="383" w:name="_Toc15475"/>
      <w:bookmarkStart w:id="384" w:name="_Toc3070"/>
      <w:bookmarkStart w:id="385" w:name="_Toc4367"/>
      <w:bookmarkStart w:id="386" w:name="_Toc22051"/>
      <w:bookmarkStart w:id="387" w:name="_Toc772"/>
      <w:bookmarkStart w:id="388" w:name="_Toc4830"/>
      <w:bookmarkStart w:id="389" w:name="_Toc7240"/>
      <w:r>
        <w:rPr>
          <w:rFonts w:hint="eastAsia" w:ascii="黑体" w:hAnsi="黑体" w:eastAsia="黑体" w:cs="黑体"/>
          <w:snapToGrid w:val="0"/>
          <w:color w:val="auto"/>
          <w:kern w:val="0"/>
          <w:sz w:val="21"/>
          <w:szCs w:val="21"/>
          <w:lang w:val="en-US" w:eastAsia="zh-CN" w:bidi="ar"/>
        </w:rPr>
        <w:t>6.6</w:t>
      </w:r>
      <w:r>
        <w:rPr>
          <w:rFonts w:hint="eastAsia" w:ascii="黑体" w:hAnsi="黑体" w:eastAsia="黑体" w:cs="黑体"/>
          <w:color w:val="auto"/>
          <w:spacing w:val="8"/>
          <w:sz w:val="21"/>
          <w:szCs w:val="21"/>
          <w:lang w:val="en-US" w:eastAsia="zh-CN"/>
        </w:rPr>
        <w:t xml:space="preserve">  其它用电装置</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6EA394B">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3"/>
        <w:rPr>
          <w:rFonts w:hint="eastAsia" w:ascii="黑体" w:hAnsi="黑体" w:eastAsia="黑体" w:cs="黑体"/>
          <w:snapToGrid w:val="0"/>
          <w:color w:val="auto"/>
          <w:spacing w:val="8"/>
          <w:kern w:val="0"/>
          <w:sz w:val="21"/>
          <w:szCs w:val="21"/>
          <w:lang w:val="en-US" w:eastAsia="zh-CN"/>
        </w:rPr>
      </w:pPr>
      <w:bookmarkStart w:id="390" w:name="_Toc28338"/>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.6.1</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充电设施</w:t>
      </w:r>
      <w:bookmarkEnd w:id="390"/>
    </w:p>
    <w:p w14:paraId="228BD4A9">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.6.1.1</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 xml:space="preserve">直观检查 </w:t>
      </w:r>
    </w:p>
    <w:p w14:paraId="5412DA1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6.6.1.1.1</w:t>
      </w:r>
      <w:r>
        <w:rPr>
          <w:rFonts w:hint="eastAsia" w:ascii="宋体" w:hAnsi="宋体" w:eastAsia="宋体" w:cs="宋体"/>
          <w:snapToGrid w:val="0"/>
          <w:color w:val="auto"/>
          <w:kern w:val="0"/>
          <w:sz w:val="21"/>
          <w:szCs w:val="21"/>
          <w:lang w:val="en-US" w:eastAsia="zh-CN" w:bidi="ar"/>
        </w:rPr>
        <w:t xml:space="preserve">  充电设施输入输出线缆绝缘应无老化、腐蚀和损伤痕迹，端子无过热痕迹，无火花放电痕迹。</w:t>
      </w:r>
    </w:p>
    <w:p w14:paraId="1D6C1CE9">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6.6.1.1.2</w:t>
      </w:r>
      <w:r>
        <w:rPr>
          <w:rFonts w:hint="eastAsia" w:ascii="宋体" w:hAnsi="宋体" w:eastAsia="宋体" w:cs="宋体"/>
          <w:snapToGrid w:val="0"/>
          <w:color w:val="auto"/>
          <w:kern w:val="0"/>
          <w:sz w:val="21"/>
          <w:szCs w:val="21"/>
          <w:lang w:val="en-US" w:eastAsia="zh-CN" w:bidi="ar"/>
        </w:rPr>
        <w:t xml:space="preserve">  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防护等级应满足下列要求：</w:t>
      </w:r>
    </w:p>
    <w:p w14:paraId="2A763A6E">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安装于室内的电动汽车充电设施的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防护等级应不低于IP32；</w:t>
      </w:r>
    </w:p>
    <w:p w14:paraId="13D35A58">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b)</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安装于室内的电动自行车充电设施的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防护等级应不低于IP30；</w:t>
      </w:r>
    </w:p>
    <w:p w14:paraId="5AF700B4">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c)</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安装于室外以及有淋水风险的室内的充电设施</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w:t>
      </w:r>
      <w:r>
        <w:rPr>
          <w:rFonts w:hint="eastAsia" w:ascii="宋体" w:hAnsi="宋体" w:cs="宋体"/>
          <w:snapToGrid w:val="0"/>
          <w:color w:val="auto"/>
          <w:kern w:val="0"/>
          <w:sz w:val="21"/>
          <w:szCs w:val="21"/>
          <w:lang w:val="en-US" w:eastAsia="zh-CN" w:bidi="ar"/>
        </w:rPr>
        <w:t>6</w:t>
      </w:r>
      <w:r>
        <w:rPr>
          <w:rFonts w:hint="eastAsia" w:ascii="宋体" w:hAnsi="宋体" w:eastAsia="宋体" w:cs="宋体"/>
          <w:snapToGrid w:val="0"/>
          <w:color w:val="auto"/>
          <w:kern w:val="0"/>
          <w:sz w:val="21"/>
          <w:szCs w:val="21"/>
          <w:lang w:val="en-US" w:eastAsia="zh-CN" w:bidi="ar"/>
        </w:rPr>
        <w:t>5。</w:t>
      </w:r>
    </w:p>
    <w:p w14:paraId="19C58233">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6.6.1.1.3 </w:t>
      </w:r>
      <w:r>
        <w:rPr>
          <w:rFonts w:hint="eastAsia" w:ascii="宋体" w:hAnsi="宋体" w:eastAsia="宋体" w:cs="宋体"/>
          <w:snapToGrid w:val="0"/>
          <w:color w:val="auto"/>
          <w:kern w:val="0"/>
          <w:sz w:val="21"/>
          <w:szCs w:val="21"/>
          <w:lang w:val="en-US" w:eastAsia="zh-CN" w:bidi="ar"/>
        </w:rPr>
        <w:t xml:space="preserve"> 电动汽车充电设备应具备过负荷保护、短路保护、漏电保护、自检及故障报警功能。</w:t>
      </w:r>
      <w:r>
        <w:rPr>
          <w:rFonts w:hint="eastAsia" w:ascii="黑体" w:hAnsi="黑体" w:eastAsia="黑体" w:cs="黑体"/>
          <w:snapToGrid w:val="0"/>
          <w:color w:val="auto"/>
          <w:kern w:val="0"/>
          <w:sz w:val="21"/>
          <w:szCs w:val="21"/>
          <w:lang w:val="en-US" w:eastAsia="zh-CN" w:bidi="ar"/>
        </w:rPr>
        <w:t>6.6.1.1.4</w:t>
      </w:r>
      <w:r>
        <w:rPr>
          <w:rFonts w:hint="eastAsia" w:ascii="宋体" w:hAnsi="宋体" w:eastAsia="宋体" w:cs="宋体"/>
          <w:snapToGrid w:val="0"/>
          <w:color w:val="auto"/>
          <w:kern w:val="0"/>
          <w:sz w:val="21"/>
          <w:szCs w:val="21"/>
          <w:lang w:val="en-US" w:eastAsia="zh-CN" w:bidi="ar"/>
        </w:rPr>
        <w:t xml:space="preserve">  充电设备宜采用专用供电线路</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保护接地端子应可靠接地。</w:t>
      </w:r>
    </w:p>
    <w:p w14:paraId="7DE9F9B1">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.6.1.2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14:paraId="67C96715">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充电设施的触点温升不应超过表3中规定的数值；电源线的温升不应超过表4中规定的数值。</w:t>
      </w:r>
    </w:p>
    <w:p w14:paraId="0E4E1C19">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lang w:val="en-US" w:eastAsia="zh-CN"/>
        </w:rPr>
      </w:pPr>
      <w:bookmarkStart w:id="391" w:name="_Toc15304"/>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.6.2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自备电源装置</w:t>
      </w:r>
      <w:bookmarkEnd w:id="391"/>
      <w:r>
        <w:rPr>
          <w:rFonts w:hint="eastAsia" w:ascii="黑体" w:hAnsi="黑体" w:eastAsia="黑体" w:cs="黑体"/>
          <w:snapToGrid w:val="0"/>
          <w:color w:val="auto"/>
          <w:spacing w:val="8"/>
          <w:kern w:val="0"/>
          <w:sz w:val="21"/>
          <w:szCs w:val="21"/>
          <w:lang w:val="en-US" w:eastAsia="zh-CN"/>
        </w:rPr>
        <w:t xml:space="preserve"> </w:t>
      </w:r>
    </w:p>
    <w:p w14:paraId="5F5AEC04">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 xml:space="preserve">.6.2.1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 xml:space="preserve">直观检查 </w:t>
      </w:r>
    </w:p>
    <w:p w14:paraId="5B12438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6.6.2.1.1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自备电源装置运行时不应过负荷运行。 </w:t>
      </w:r>
    </w:p>
    <w:p w14:paraId="0BDCD8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6.6.2.1.2</w:t>
      </w:r>
      <w:r>
        <w:rPr>
          <w:rFonts w:hint="eastAsia" w:ascii="宋体" w:hAnsi="宋体" w:eastAsia="宋体" w:cs="宋体"/>
          <w:snapToGrid w:val="0"/>
          <w:color w:val="auto"/>
          <w:kern w:val="0"/>
          <w:sz w:val="21"/>
          <w:szCs w:val="21"/>
          <w:lang w:val="en-US" w:eastAsia="zh-CN" w:bidi="ar"/>
        </w:rPr>
        <w:t xml:space="preserve">  自备电源装置各连接点、壳体等无过热痕迹、无火花放电痕迹。 </w:t>
      </w:r>
    </w:p>
    <w:p w14:paraId="51D80D25">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6.6.2.1.3 </w:t>
      </w:r>
      <w:r>
        <w:rPr>
          <w:rFonts w:hint="eastAsia" w:ascii="宋体" w:hAnsi="宋体" w:eastAsia="宋体" w:cs="宋体"/>
          <w:snapToGrid w:val="0"/>
          <w:color w:val="auto"/>
          <w:kern w:val="0"/>
          <w:sz w:val="21"/>
          <w:szCs w:val="21"/>
          <w:lang w:val="en-US" w:eastAsia="zh-CN" w:bidi="ar"/>
        </w:rPr>
        <w:t xml:space="preserve"> 自备电源装置的防护等级应满足产品标准的要求。如无规定，室内安装的设备应至少满足IP20的要求，对室外安装的设备应至少满足IP44的要求。 </w:t>
      </w:r>
    </w:p>
    <w:p w14:paraId="50EB7A5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6.6.2.1.4</w:t>
      </w:r>
      <w:r>
        <w:rPr>
          <w:rFonts w:hint="eastAsia" w:ascii="宋体" w:hAnsi="宋体" w:eastAsia="宋体" w:cs="宋体"/>
          <w:snapToGrid w:val="0"/>
          <w:color w:val="auto"/>
          <w:kern w:val="0"/>
          <w:sz w:val="21"/>
          <w:szCs w:val="21"/>
          <w:lang w:val="en-US" w:eastAsia="zh-CN" w:bidi="ar"/>
        </w:rPr>
        <w:t xml:space="preserve">  自备电源装置的剩余电流</w:t>
      </w:r>
      <w:r>
        <w:rPr>
          <w:rFonts w:hint="eastAsia" w:ascii="宋体" w:hAnsi="宋体" w:cs="宋体"/>
          <w:snapToGrid w:val="0"/>
          <w:color w:val="auto"/>
          <w:kern w:val="0"/>
          <w:sz w:val="21"/>
          <w:szCs w:val="21"/>
          <w:lang w:val="en-US" w:eastAsia="zh-CN" w:bidi="ar"/>
        </w:rPr>
        <w:t>动作</w:t>
      </w:r>
      <w:r>
        <w:rPr>
          <w:rFonts w:hint="eastAsia" w:ascii="宋体" w:hAnsi="宋体" w:eastAsia="宋体" w:cs="宋体"/>
          <w:snapToGrid w:val="0"/>
          <w:color w:val="auto"/>
          <w:kern w:val="0"/>
          <w:sz w:val="21"/>
          <w:szCs w:val="21"/>
          <w:lang w:val="en-US" w:eastAsia="zh-CN" w:bidi="ar"/>
        </w:rPr>
        <w:t>保护</w:t>
      </w:r>
      <w:r>
        <w:rPr>
          <w:rFonts w:hint="eastAsia" w:ascii="宋体" w:hAnsi="宋体" w:cs="宋体"/>
          <w:snapToGrid w:val="0"/>
          <w:color w:val="auto"/>
          <w:kern w:val="0"/>
          <w:sz w:val="21"/>
          <w:szCs w:val="21"/>
          <w:lang w:val="en-US" w:eastAsia="zh-CN" w:bidi="ar"/>
        </w:rPr>
        <w:t>装置</w:t>
      </w:r>
      <w:r>
        <w:rPr>
          <w:rFonts w:hint="eastAsia" w:ascii="宋体" w:hAnsi="宋体" w:eastAsia="宋体" w:cs="宋体"/>
          <w:snapToGrid w:val="0"/>
          <w:color w:val="auto"/>
          <w:kern w:val="0"/>
          <w:sz w:val="21"/>
          <w:szCs w:val="21"/>
          <w:lang w:val="en-US" w:eastAsia="zh-CN" w:bidi="ar"/>
        </w:rPr>
        <w:t>、功率模块、铭牌标称功率、电流及电压范围等应与设备的铭牌参数匹配。</w:t>
      </w:r>
    </w:p>
    <w:p w14:paraId="496A4D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6.6.2.1.5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发电机</w:t>
      </w:r>
    </w:p>
    <w:p w14:paraId="23120B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eastAsia="宋体"/>
          <w:color w:val="auto"/>
          <w:lang w:val="en-US" w:eastAsia="zh-CN"/>
        </w:rPr>
        <w:t>应满足以下要求</w:t>
      </w:r>
      <w:r>
        <w:rPr>
          <w:rFonts w:hint="eastAsia"/>
          <w:color w:val="auto"/>
          <w:lang w:val="en-US" w:eastAsia="zh-CN"/>
        </w:rPr>
        <w:t>：</w:t>
      </w:r>
    </w:p>
    <w:p w14:paraId="29F8814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eastAsia="宋体"/>
          <w:color w:val="auto"/>
          <w:lang w:eastAsia="zh-CN"/>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lang w:val="en-US" w:eastAsia="zh-CN"/>
        </w:rPr>
        <w:t xml:space="preserve">  </w:t>
      </w:r>
      <w:r>
        <w:rPr>
          <w:color w:val="auto"/>
        </w:rPr>
        <w:t>仪表、指示灯及开关按钮等应完好，显示应正常</w:t>
      </w:r>
      <w:r>
        <w:rPr>
          <w:rFonts w:hint="eastAsia"/>
          <w:color w:val="auto"/>
          <w:lang w:eastAsia="zh-CN"/>
        </w:rPr>
        <w:t>；</w:t>
      </w:r>
    </w:p>
    <w:p w14:paraId="71DC9AA0">
      <w:pPr>
        <w:keepNext w:val="0"/>
        <w:keepLines w:val="0"/>
        <w:pageBreakBefore w:val="0"/>
        <w:widowControl/>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lang w:val="en-US" w:eastAsia="zh-CN"/>
        </w:rPr>
        <w:t xml:space="preserve">  用于消防设施供配电的</w:t>
      </w:r>
      <w:r>
        <w:rPr>
          <w:rFonts w:hint="eastAsia" w:ascii="宋体" w:hAnsi="宋体" w:eastAsia="宋体" w:cs="宋体"/>
          <w:color w:val="auto"/>
          <w:lang w:val="en-US" w:eastAsia="zh-CN"/>
        </w:rPr>
        <w:t>发电机组</w:t>
      </w:r>
      <w:r>
        <w:rPr>
          <w:rFonts w:hint="eastAsia" w:ascii="宋体" w:hAnsi="宋体" w:cs="宋体"/>
          <w:color w:val="auto"/>
          <w:lang w:val="en-US" w:eastAsia="zh-CN"/>
        </w:rPr>
        <w:t>，自动启动并达到额定转速并发电的时间不应大于30s，发电机运行及输出功率、电压、频率、相位的显示均应正常。用于应急供电的发电机组平时应处于自启动状态；</w:t>
      </w:r>
    </w:p>
    <w:p w14:paraId="4B202D0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机房通风设施应正常</w:t>
      </w:r>
      <w:r>
        <w:rPr>
          <w:rFonts w:hint="eastAsia" w:ascii="宋体" w:hAnsi="宋体" w:cs="宋体"/>
          <w:color w:val="auto"/>
          <w:lang w:val="en-US" w:eastAsia="zh-CN"/>
        </w:rPr>
        <w:t>；</w:t>
      </w:r>
    </w:p>
    <w:p w14:paraId="1684E616">
      <w:pPr>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d)  备用发电机组外壳等应接地应牢固可靠，燃油箱及金属管路防静电接地也应牢固可靠，完好无损</w:t>
      </w:r>
      <w:r>
        <w:rPr>
          <w:rFonts w:hint="eastAsia" w:ascii="宋体" w:hAnsi="宋体" w:cs="宋体"/>
          <w:color w:val="auto"/>
          <w:lang w:val="en-US" w:eastAsia="zh-CN"/>
        </w:rPr>
        <w:t>；</w:t>
      </w:r>
    </w:p>
    <w:p w14:paraId="2E855B39">
      <w:pPr>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e)  作为消防供配电设施和应急供电的</w:t>
      </w:r>
      <w:bookmarkStart w:id="392" w:name="_Hlk179985715"/>
      <w:r>
        <w:rPr>
          <w:rFonts w:hint="eastAsia" w:ascii="宋体" w:hAnsi="宋体" w:eastAsia="宋体" w:cs="宋体"/>
          <w:color w:val="auto"/>
          <w:lang w:val="en-US" w:eastAsia="zh-CN"/>
        </w:rPr>
        <w:t>备用机组</w:t>
      </w:r>
      <w:bookmarkEnd w:id="392"/>
      <w:r>
        <w:rPr>
          <w:rFonts w:hint="eastAsia" w:ascii="宋体" w:hAnsi="宋体" w:eastAsia="宋体" w:cs="宋体"/>
          <w:color w:val="auto"/>
          <w:lang w:val="en-US" w:eastAsia="zh-CN"/>
        </w:rPr>
        <w:t>，应配置机组冷却液电加热器，机房温度低于21℃时，宜配置机油电加热器，冷却液温度应不低于35℃，发电机运转时应切断电源</w:t>
      </w:r>
      <w:r>
        <w:rPr>
          <w:rFonts w:hint="eastAsia" w:ascii="宋体" w:hAnsi="宋体" w:cs="宋体"/>
          <w:color w:val="auto"/>
          <w:lang w:val="en-US" w:eastAsia="zh-CN"/>
        </w:rPr>
        <w:t>；</w:t>
      </w:r>
    </w:p>
    <w:p w14:paraId="13A38710">
      <w:pPr>
        <w:keepNext w:val="0"/>
        <w:keepLines w:val="0"/>
        <w:pageBreakBefore w:val="0"/>
        <w:widowControl/>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f)  备用机组采用电启动方式的系统，应满足柴油发电机组连续启动6次成功。蓄电池组周边不应有油、水浸入。</w:t>
      </w:r>
    </w:p>
    <w:p w14:paraId="4513A0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color w:val="auto"/>
        </w:rPr>
      </w:pPr>
      <w:r>
        <w:rPr>
          <w:rFonts w:hint="eastAsia" w:ascii="黑体" w:hAnsi="黑体" w:eastAsia="黑体" w:cs="黑体"/>
          <w:snapToGrid w:val="0"/>
          <w:color w:val="auto"/>
          <w:kern w:val="0"/>
          <w:sz w:val="21"/>
          <w:szCs w:val="21"/>
          <w:lang w:val="en-US" w:eastAsia="zh-CN" w:bidi="ar"/>
        </w:rPr>
        <w:t xml:space="preserve">6.6.2.1.6  </w:t>
      </w:r>
      <w:r>
        <w:rPr>
          <w:color w:val="auto"/>
        </w:rPr>
        <w:t>自备发电机组储油设施</w:t>
      </w:r>
    </w:p>
    <w:p w14:paraId="2934788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eastAsia="宋体"/>
          <w:color w:val="auto"/>
          <w:lang w:val="en-US" w:eastAsia="zh-CN"/>
        </w:rPr>
        <w:t>应满足以下要求</w:t>
      </w:r>
      <w:r>
        <w:rPr>
          <w:rFonts w:hint="eastAsia"/>
          <w:color w:val="auto"/>
          <w:lang w:val="en-US" w:eastAsia="zh-CN"/>
        </w:rPr>
        <w:t>：</w:t>
      </w:r>
    </w:p>
    <w:p w14:paraId="30CA6DD2">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rFonts w:hint="eastAsia"/>
          <w:color w:val="auto"/>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储油设施内的燃油量应能满足发电机在设计连续供电时间内正常运行的用量，储油间内的燃油箱储油量不应大于1m</w:t>
      </w:r>
      <w:r>
        <w:rPr>
          <w:rFonts w:hint="eastAsia" w:ascii="宋体" w:hAnsi="宋体" w:cs="宋体"/>
          <w:color w:val="auto"/>
          <w:vertAlign w:val="superscript"/>
          <w:lang w:val="en-US" w:eastAsia="zh-CN"/>
        </w:rPr>
        <w:t>3</w:t>
      </w:r>
      <w:r>
        <w:rPr>
          <w:rFonts w:hint="eastAsia" w:ascii="宋体" w:hAnsi="宋体" w:cs="宋体"/>
          <w:color w:val="auto"/>
          <w:lang w:val="en-US" w:eastAsia="zh-CN"/>
        </w:rPr>
        <w:t>；</w:t>
      </w:r>
    </w:p>
    <w:p w14:paraId="4A72394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燃油油位显示应正常</w:t>
      </w:r>
      <w:r>
        <w:rPr>
          <w:rFonts w:hint="eastAsia" w:ascii="宋体" w:hAnsi="宋体" w:cs="宋体"/>
          <w:color w:val="auto"/>
          <w:lang w:val="en-US" w:eastAsia="zh-CN"/>
        </w:rPr>
        <w:t>；</w:t>
      </w:r>
    </w:p>
    <w:p w14:paraId="0A00DC8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应选用丙类燃油，燃油标号应正确</w:t>
      </w:r>
      <w:r>
        <w:rPr>
          <w:rFonts w:hint="eastAsia" w:ascii="宋体" w:hAnsi="宋体" w:cs="宋体"/>
          <w:color w:val="auto"/>
          <w:lang w:val="en-US" w:eastAsia="zh-CN"/>
        </w:rPr>
        <w:t>；</w:t>
      </w:r>
    </w:p>
    <w:p w14:paraId="04805A5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  应配置相适应消防设施；</w:t>
      </w:r>
    </w:p>
    <w:p w14:paraId="15570BA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e)  </w:t>
      </w:r>
      <w:r>
        <w:rPr>
          <w:rFonts w:hint="default" w:ascii="宋体" w:hAnsi="宋体" w:cs="宋体"/>
          <w:snapToGrid w:val="0"/>
          <w:color w:val="auto"/>
          <w:kern w:val="0"/>
          <w:sz w:val="21"/>
          <w:szCs w:val="21"/>
          <w:lang w:val="en-US" w:eastAsia="zh-CN" w:bidi="ar"/>
        </w:rPr>
        <w:t>燃油系统的设备与管道应采取防静电接地措施</w:t>
      </w:r>
      <w:r>
        <w:rPr>
          <w:rFonts w:hint="eastAsia" w:ascii="宋体" w:hAnsi="宋体" w:cs="宋体"/>
          <w:snapToGrid w:val="0"/>
          <w:color w:val="auto"/>
          <w:kern w:val="0"/>
          <w:sz w:val="21"/>
          <w:szCs w:val="21"/>
          <w:lang w:val="en-US" w:eastAsia="zh-CN" w:bidi="ar"/>
        </w:rPr>
        <w:t>；</w:t>
      </w:r>
    </w:p>
    <w:p w14:paraId="13CFE75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  储油间灯具、开关、线路应设置防爆措施；</w:t>
      </w:r>
    </w:p>
    <w:p w14:paraId="5C2C38B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840" w:leftChars="200" w:hanging="420" w:hanging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  用于消防供配电设施和应急供电的备用机组，燃油箱应高位安装布置，出油口应高于柴油机输油泵。燃油箱下部应设置防止油品流散的围堰(双层燃油箱除外)，围堰内外均应无油迹。燃油箱通向室外的通气管及带阻火器的呼吸阀应完好无锈蚀；</w:t>
      </w:r>
    </w:p>
    <w:p w14:paraId="1A8FEE53">
      <w:pPr>
        <w:widowControl/>
        <w:kinsoku w:val="0"/>
        <w:autoSpaceDE w:val="0"/>
        <w:autoSpaceDN w:val="0"/>
        <w:adjustRightInd w:val="0"/>
        <w:snapToGrid w:val="0"/>
        <w:ind w:firstLine="420" w:firstLineChars="200"/>
        <w:jc w:val="left"/>
        <w:textAlignment w:val="baseline"/>
        <w:rPr>
          <w:rFonts w:ascii="宋体" w:hAnsi="宋体" w:cs="宋体"/>
          <w:color w:val="auto"/>
        </w:rPr>
      </w:pPr>
      <w:r>
        <w:rPr>
          <w:rFonts w:hint="eastAsia" w:ascii="宋体" w:hAnsi="宋体" w:cs="宋体"/>
          <w:color w:val="auto"/>
          <w:lang w:val="en-US" w:eastAsia="zh-CN"/>
        </w:rPr>
        <w:t>h</w:t>
      </w:r>
      <w:r>
        <w:rPr>
          <w:rFonts w:ascii="宋体" w:hAnsi="宋体" w:cs="宋体"/>
          <w:color w:val="auto"/>
        </w:rPr>
        <w:t xml:space="preserve">) </w:t>
      </w:r>
      <w:r>
        <w:rPr>
          <w:rFonts w:hint="eastAsia" w:ascii="宋体" w:hAnsi="宋体" w:cs="宋体"/>
          <w:color w:val="auto"/>
        </w:rPr>
        <w:t xml:space="preserve"> </w:t>
      </w:r>
      <w:r>
        <w:rPr>
          <w:rFonts w:ascii="宋体" w:hAnsi="宋体" w:cs="宋体"/>
          <w:color w:val="auto"/>
        </w:rPr>
        <w:t>柴油机回燃油箱的管路上不得安装切断阀。</w:t>
      </w:r>
    </w:p>
    <w:p w14:paraId="5B54CC50">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hAnsi="黑体" w:cs="黑体"/>
          <w:snapToGrid w:val="0"/>
          <w:color w:val="auto"/>
          <w:spacing w:val="8"/>
          <w:kern w:val="0"/>
          <w:sz w:val="21"/>
          <w:szCs w:val="21"/>
          <w:lang w:val="en-US" w:eastAsia="zh-CN"/>
        </w:rPr>
        <w:t>6</w:t>
      </w:r>
      <w:r>
        <w:rPr>
          <w:rFonts w:hint="eastAsia" w:ascii="黑体" w:hAnsi="黑体" w:eastAsia="黑体" w:cs="黑体"/>
          <w:snapToGrid w:val="0"/>
          <w:color w:val="auto"/>
          <w:spacing w:val="8"/>
          <w:kern w:val="0"/>
          <w:sz w:val="21"/>
          <w:szCs w:val="21"/>
          <w:lang w:val="en-US" w:eastAsia="zh-CN"/>
        </w:rPr>
        <w:t>.6.2.</w:t>
      </w:r>
      <w:r>
        <w:rPr>
          <w:rFonts w:hint="eastAsia"/>
          <w:color w:val="auto"/>
          <w:lang w:val="en-US" w:eastAsia="zh-CN"/>
        </w:rPr>
        <w:t xml:space="preserve">2  </w:t>
      </w:r>
      <w:r>
        <w:rPr>
          <w:rFonts w:hint="eastAsia" w:ascii="黑体" w:hAnsi="黑体" w:eastAsia="黑体" w:cs="黑体"/>
          <w:snapToGrid w:val="0"/>
          <w:color w:val="auto"/>
          <w:spacing w:val="8"/>
          <w:kern w:val="0"/>
          <w:sz w:val="21"/>
          <w:szCs w:val="21"/>
          <w:lang w:val="en-US" w:eastAsia="zh-CN"/>
        </w:rPr>
        <w:t xml:space="preserve">仪器检测 </w:t>
      </w:r>
    </w:p>
    <w:p w14:paraId="55FDF618">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6.6.2.2.1 </w:t>
      </w:r>
      <w:r>
        <w:rPr>
          <w:rFonts w:hint="eastAsia" w:ascii="宋体" w:hAnsi="宋体" w:eastAsia="宋体" w:cs="宋体"/>
          <w:snapToGrid w:val="0"/>
          <w:color w:val="auto"/>
          <w:kern w:val="0"/>
          <w:sz w:val="21"/>
          <w:szCs w:val="21"/>
          <w:lang w:val="en-US" w:eastAsia="zh-CN" w:bidi="ar"/>
        </w:rPr>
        <w:t xml:space="preserve"> 对稳定运行的自备电源装置发热情况进行测试，外部可见的连接端子、可触及部件、外壳、线缆等部位，最高温度或</w:t>
      </w:r>
      <w:r>
        <w:rPr>
          <w:rFonts w:hint="eastAsia" w:ascii="宋体" w:hAnsi="宋体" w:cs="宋体"/>
          <w:snapToGrid w:val="0"/>
          <w:color w:val="auto"/>
          <w:kern w:val="0"/>
          <w:sz w:val="21"/>
          <w:szCs w:val="21"/>
          <w:lang w:val="en-US" w:eastAsia="zh-CN" w:bidi="ar"/>
        </w:rPr>
        <w:t>允许</w:t>
      </w:r>
      <w:r>
        <w:rPr>
          <w:rFonts w:hint="eastAsia" w:ascii="宋体" w:hAnsi="宋体" w:eastAsia="宋体" w:cs="宋体"/>
          <w:snapToGrid w:val="0"/>
          <w:color w:val="auto"/>
          <w:kern w:val="0"/>
          <w:sz w:val="21"/>
          <w:szCs w:val="21"/>
          <w:lang w:val="en-US" w:eastAsia="zh-CN" w:bidi="ar"/>
        </w:rPr>
        <w:t xml:space="preserve">温升应满足表3、表4的规定。 </w:t>
      </w:r>
    </w:p>
    <w:p w14:paraId="58D05B13">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6.6.2.2.2  </w:t>
      </w:r>
      <w:r>
        <w:rPr>
          <w:rFonts w:hint="eastAsia" w:ascii="宋体" w:hAnsi="宋体" w:eastAsia="宋体" w:cs="宋体"/>
          <w:snapToGrid w:val="0"/>
          <w:color w:val="auto"/>
          <w:kern w:val="0"/>
          <w:sz w:val="21"/>
          <w:szCs w:val="21"/>
          <w:lang w:val="en-US" w:eastAsia="zh-CN" w:bidi="ar"/>
        </w:rPr>
        <w:t>设备的最高允许温度和允许温升不应超过相应设备的国家标准规定值或制造商的规定。</w:t>
      </w:r>
    </w:p>
    <w:p w14:paraId="0B2684CA">
      <w:pPr>
        <w:widowControl/>
        <w:kinsoku w:val="0"/>
        <w:autoSpaceDE w:val="0"/>
        <w:autoSpaceDN w:val="0"/>
        <w:adjustRightInd w:val="0"/>
        <w:snapToGrid w:val="0"/>
        <w:jc w:val="left"/>
        <w:textAlignment w:val="baseline"/>
        <w:rPr>
          <w:rFonts w:hint="eastAsia" w:ascii="宋体" w:hAnsi="宋体" w:cs="宋体"/>
          <w:snapToGrid w:val="0"/>
          <w:color w:val="auto"/>
          <w:kern w:val="0"/>
          <w:szCs w:val="21"/>
          <w:lang w:bidi="ar"/>
        </w:rPr>
      </w:pPr>
      <w:r>
        <w:rPr>
          <w:rFonts w:hint="eastAsia" w:ascii="黑体" w:hAnsi="黑体" w:eastAsia="黑体" w:cs="黑体"/>
          <w:snapToGrid w:val="0"/>
          <w:color w:val="auto"/>
          <w:kern w:val="0"/>
          <w:sz w:val="21"/>
          <w:szCs w:val="21"/>
          <w:lang w:val="en-US" w:eastAsia="zh-CN" w:bidi="ar"/>
        </w:rPr>
        <w:t>6.6.2.2.3</w:t>
      </w:r>
      <w:r>
        <w:rPr>
          <w:rFonts w:hint="eastAsia" w:ascii="宋体" w:hAnsi="宋体" w:cs="宋体"/>
          <w:snapToGrid w:val="0"/>
          <w:color w:val="auto"/>
          <w:kern w:val="0"/>
          <w:szCs w:val="21"/>
          <w:lang w:bidi="ar"/>
        </w:rPr>
        <w:t xml:space="preserve">  自备发电机</w:t>
      </w:r>
    </w:p>
    <w:p w14:paraId="7163BE5E">
      <w:pPr>
        <w:widowControl/>
        <w:kinsoku w:val="0"/>
        <w:autoSpaceDE w:val="0"/>
        <w:autoSpaceDN w:val="0"/>
        <w:adjustRightInd w:val="0"/>
        <w:snapToGrid w:val="0"/>
        <w:ind w:firstLine="420" w:firstLineChars="200"/>
        <w:jc w:val="left"/>
        <w:textAlignment w:val="baseline"/>
        <w:rPr>
          <w:rFonts w:hint="eastAsia" w:ascii="宋体" w:hAnsi="宋体" w:eastAsia="宋体" w:cs="宋体"/>
          <w:snapToGrid w:val="0"/>
          <w:color w:val="auto"/>
          <w:kern w:val="0"/>
          <w:szCs w:val="21"/>
          <w:lang w:eastAsia="zh-CN" w:bidi="ar"/>
        </w:rPr>
      </w:pPr>
      <w:r>
        <w:rPr>
          <w:rFonts w:hint="eastAsia" w:ascii="宋体" w:hAnsi="宋体" w:cs="宋体"/>
          <w:snapToGrid w:val="0"/>
          <w:color w:val="auto"/>
          <w:kern w:val="0"/>
          <w:szCs w:val="21"/>
          <w:lang w:bidi="ar"/>
        </w:rPr>
        <w:t>应满足以下要求</w:t>
      </w:r>
      <w:r>
        <w:rPr>
          <w:rFonts w:hint="eastAsia" w:ascii="宋体" w:hAnsi="宋体" w:cs="宋体"/>
          <w:snapToGrid w:val="0"/>
          <w:color w:val="auto"/>
          <w:kern w:val="0"/>
          <w:szCs w:val="21"/>
          <w:lang w:eastAsia="zh-CN" w:bidi="ar"/>
        </w:rPr>
        <w:t>：</w:t>
      </w:r>
    </w:p>
    <w:p w14:paraId="6159AF3B">
      <w:pPr>
        <w:widowControl/>
        <w:kinsoku w:val="0"/>
        <w:autoSpaceDE w:val="0"/>
        <w:autoSpaceDN w:val="0"/>
        <w:adjustRightInd w:val="0"/>
        <w:snapToGrid w:val="0"/>
        <w:ind w:left="840" w:hanging="840" w:hangingChars="400"/>
        <w:jc w:val="left"/>
        <w:textAlignment w:val="baseline"/>
        <w:rPr>
          <w:rFonts w:hint="eastAsia" w:ascii="宋体" w:hAnsi="宋体" w:eastAsia="宋体" w:cs="宋体"/>
          <w:snapToGrid w:val="0"/>
          <w:color w:val="auto"/>
          <w:kern w:val="0"/>
          <w:szCs w:val="21"/>
          <w:lang w:val="en-US" w:eastAsia="zh-CN" w:bidi="ar"/>
        </w:rPr>
      </w:pPr>
      <w:r>
        <w:rPr>
          <w:rFonts w:hint="eastAsia" w:ascii="宋体" w:hAnsi="宋体" w:cs="宋体"/>
          <w:snapToGrid w:val="0"/>
          <w:color w:val="auto"/>
          <w:kern w:val="0"/>
          <w:szCs w:val="21"/>
          <w:lang w:val="en-US" w:eastAsia="zh-CN" w:bidi="ar"/>
        </w:rPr>
        <w:t xml:space="preserve">    a</w:t>
      </w:r>
      <w:r>
        <w:rPr>
          <w:rFonts w:ascii="宋体" w:hAnsi="宋体" w:cs="宋体"/>
          <w:color w:val="auto"/>
        </w:rPr>
        <w:t>)</w:t>
      </w:r>
      <w:r>
        <w:rPr>
          <w:rFonts w:hint="eastAsia" w:ascii="宋体" w:hAnsi="宋体" w:cs="宋体"/>
          <w:color w:val="auto"/>
          <w:lang w:val="en-US" w:eastAsia="zh-CN"/>
        </w:rPr>
        <w:t xml:space="preserve">  </w:t>
      </w:r>
      <w:r>
        <w:rPr>
          <w:rFonts w:hint="eastAsia" w:ascii="宋体" w:hAnsi="宋体" w:cs="宋体"/>
          <w:snapToGrid w:val="0"/>
          <w:color w:val="auto"/>
          <w:kern w:val="0"/>
          <w:szCs w:val="21"/>
          <w:lang w:bidi="ar"/>
        </w:rPr>
        <w:t>当市电中断，作为消防供配电设施的发电机组应在30s内供电</w:t>
      </w:r>
      <w:r>
        <w:rPr>
          <w:rFonts w:hint="eastAsia" w:ascii="宋体" w:hAnsi="宋体" w:cs="宋体"/>
          <w:snapToGrid w:val="0"/>
          <w:color w:val="auto"/>
          <w:kern w:val="0"/>
          <w:szCs w:val="21"/>
          <w:lang w:eastAsia="zh-CN" w:bidi="ar"/>
        </w:rPr>
        <w:t>。</w:t>
      </w:r>
      <w:r>
        <w:rPr>
          <w:rFonts w:hint="eastAsia" w:ascii="宋体" w:hAnsi="宋体" w:cs="宋体"/>
          <w:snapToGrid w:val="0"/>
          <w:color w:val="auto"/>
          <w:kern w:val="0"/>
          <w:szCs w:val="21"/>
          <w:lang w:bidi="ar"/>
        </w:rPr>
        <w:t>应急供电的低压机组应在30s内供电、高压机组应在60s内供电，并能正常运行，查看输出功率、电压、频率和相位正常。手动控制方式启动机组，机组运行及输出功率、电压、频率、相位的显示均应正常</w:t>
      </w:r>
      <w:r>
        <w:rPr>
          <w:rFonts w:hint="eastAsia" w:ascii="宋体" w:hAnsi="宋体" w:cs="宋体"/>
          <w:snapToGrid w:val="0"/>
          <w:color w:val="auto"/>
          <w:kern w:val="0"/>
          <w:szCs w:val="21"/>
          <w:lang w:eastAsia="zh-CN" w:bidi="ar"/>
        </w:rPr>
        <w:t>；</w:t>
      </w:r>
    </w:p>
    <w:p w14:paraId="1AC13C33">
      <w:pPr>
        <w:widowControl/>
        <w:kinsoku w:val="0"/>
        <w:autoSpaceDE w:val="0"/>
        <w:autoSpaceDN w:val="0"/>
        <w:adjustRightInd w:val="0"/>
        <w:snapToGrid w:val="0"/>
        <w:ind w:left="840" w:hanging="840" w:hangingChars="400"/>
        <w:jc w:val="left"/>
        <w:textAlignment w:val="baseline"/>
        <w:rPr>
          <w:rFonts w:hint="eastAsia" w:ascii="宋体" w:hAnsi="宋体" w:cs="宋体"/>
          <w:snapToGrid w:val="0"/>
          <w:color w:val="auto"/>
          <w:kern w:val="0"/>
          <w:szCs w:val="21"/>
          <w:lang w:bidi="ar"/>
        </w:rPr>
      </w:pPr>
      <w:r>
        <w:rPr>
          <w:rFonts w:hint="eastAsia" w:ascii="宋体" w:hAnsi="宋体" w:cs="宋体"/>
          <w:snapToGrid w:val="0"/>
          <w:color w:val="auto"/>
          <w:kern w:val="0"/>
          <w:sz w:val="21"/>
          <w:szCs w:val="21"/>
          <w:lang w:val="en-US" w:eastAsia="zh-CN" w:bidi="ar"/>
        </w:rPr>
        <w:t xml:space="preserve">   </w:t>
      </w:r>
      <w:r>
        <w:rPr>
          <w:rFonts w:hint="eastAsia" w:ascii="宋体" w:hAnsi="宋体" w:cs="宋体"/>
          <w:snapToGrid w:val="0"/>
          <w:color w:val="auto"/>
          <w:kern w:val="0"/>
          <w:szCs w:val="21"/>
          <w:lang w:val="en-US" w:eastAsia="zh-CN" w:bidi="ar"/>
        </w:rPr>
        <w:t xml:space="preserve"> b</w:t>
      </w:r>
      <w:r>
        <w:rPr>
          <w:rFonts w:ascii="宋体" w:hAnsi="宋体" w:cs="宋体"/>
          <w:color w:val="auto"/>
        </w:rPr>
        <w:t>)</w:t>
      </w:r>
      <w:r>
        <w:rPr>
          <w:rFonts w:hint="eastAsia" w:ascii="宋体" w:hAnsi="宋体" w:cs="宋体"/>
          <w:color w:val="auto"/>
          <w:lang w:val="en-US" w:eastAsia="zh-CN"/>
        </w:rPr>
        <w:t xml:space="preserve">  </w:t>
      </w:r>
      <w:r>
        <w:rPr>
          <w:rFonts w:hint="eastAsia" w:ascii="宋体" w:hAnsi="宋体" w:cs="宋体"/>
          <w:snapToGrid w:val="0"/>
          <w:color w:val="auto"/>
          <w:kern w:val="0"/>
          <w:szCs w:val="21"/>
          <w:lang w:bidi="ar"/>
        </w:rPr>
        <w:t>备用发电机组应以实际设计最大负荷工况运行至少1小时，机组应能满足夏季最高环境温度正常运行。每3年需检测一次。</w:t>
      </w:r>
      <w:bookmarkStart w:id="393" w:name="_Toc7385"/>
      <w:bookmarkStart w:id="394" w:name="_Toc19843"/>
      <w:bookmarkStart w:id="395" w:name="_Toc29950"/>
      <w:bookmarkStart w:id="396" w:name="_Toc9611"/>
      <w:bookmarkStart w:id="397" w:name="_Toc27382"/>
      <w:bookmarkStart w:id="398" w:name="_Toc8704"/>
      <w:bookmarkStart w:id="399" w:name="_Toc3805"/>
      <w:bookmarkStart w:id="400" w:name="_Toc12608"/>
      <w:bookmarkStart w:id="401" w:name="_Toc7505"/>
      <w:bookmarkStart w:id="402" w:name="_Toc2423"/>
      <w:bookmarkStart w:id="403" w:name="_Toc2321"/>
      <w:bookmarkStart w:id="404" w:name="_Toc19263"/>
      <w:bookmarkStart w:id="405" w:name="_Toc10939"/>
      <w:bookmarkStart w:id="406" w:name="_Toc17643"/>
      <w:bookmarkStart w:id="407" w:name="_Toc30998"/>
      <w:bookmarkStart w:id="408" w:name="_Toc28353"/>
      <w:bookmarkStart w:id="409" w:name="_Toc5182"/>
      <w:bookmarkStart w:id="410" w:name="_Toc28489"/>
      <w:bookmarkStart w:id="411" w:name="_Toc3671"/>
      <w:bookmarkStart w:id="412" w:name="_Toc924"/>
      <w:bookmarkStart w:id="413" w:name="_Toc27161"/>
      <w:bookmarkStart w:id="414" w:name="_Toc27919"/>
      <w:bookmarkStart w:id="415" w:name="_Toc7441"/>
      <w:bookmarkStart w:id="416" w:name="_Toc25393"/>
    </w:p>
    <w:p w14:paraId="3A6DE769">
      <w:pPr>
        <w:keepNext w:val="0"/>
        <w:keepLines w:val="0"/>
        <w:pageBreakBefore w:val="0"/>
        <w:widowControl/>
        <w:kinsoku w:val="0"/>
        <w:wordWrap/>
        <w:overflowPunct/>
        <w:topLinePunct w:val="0"/>
        <w:autoSpaceDE w:val="0"/>
        <w:autoSpaceDN w:val="0"/>
        <w:bidi w:val="0"/>
        <w:adjustRightInd w:val="0"/>
        <w:snapToGrid w:val="0"/>
        <w:spacing w:before="157" w:beforeLines="50"/>
        <w:ind w:left="0" w:hanging="840" w:hangingChars="400"/>
        <w:jc w:val="left"/>
        <w:textAlignment w:val="baseline"/>
        <w:rPr>
          <w:rFonts w:hint="eastAsia" w:ascii="黑体" w:hAnsi="黑体" w:eastAsia="黑体" w:cs="黑体"/>
          <w:color w:val="auto"/>
          <w:spacing w:val="11"/>
          <w:sz w:val="21"/>
          <w:szCs w:val="21"/>
          <w:lang w:val="en-US" w:eastAsia="zh-CN"/>
        </w:rPr>
      </w:pPr>
      <w:r>
        <w:rPr>
          <w:rFonts w:hint="eastAsia" w:ascii="黑体" w:hAnsi="黑体" w:eastAsia="黑体" w:cs="黑体"/>
          <w:snapToGrid w:val="0"/>
          <w:color w:val="auto"/>
          <w:kern w:val="0"/>
          <w:sz w:val="21"/>
          <w:szCs w:val="21"/>
          <w:lang w:val="en-US" w:eastAsia="zh-CN" w:bidi="ar"/>
        </w:rPr>
        <w:t>6.7</w:t>
      </w:r>
      <w:r>
        <w:rPr>
          <w:rFonts w:hint="eastAsia" w:ascii="黑体" w:hAnsi="黑体" w:eastAsia="黑体" w:cs="黑体"/>
          <w:color w:val="auto"/>
          <w:spacing w:val="11"/>
          <w:sz w:val="21"/>
          <w:szCs w:val="21"/>
          <w:lang w:val="en-US" w:eastAsia="zh-CN"/>
        </w:rPr>
        <w:t xml:space="preserve">  接地和等电位联结</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黑体" w:hAnsi="黑体" w:eastAsia="黑体" w:cs="黑体"/>
          <w:color w:val="auto"/>
          <w:spacing w:val="11"/>
          <w:sz w:val="21"/>
          <w:szCs w:val="21"/>
          <w:lang w:val="en-US" w:eastAsia="zh-CN"/>
        </w:rPr>
        <w:t xml:space="preserve"> </w:t>
      </w:r>
    </w:p>
    <w:p w14:paraId="203A0AA9">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default" w:ascii="黑体" w:hAnsi="黑体" w:eastAsia="黑体" w:cs="黑体"/>
          <w:snapToGrid w:val="0"/>
          <w:color w:val="auto"/>
          <w:kern w:val="0"/>
          <w:sz w:val="21"/>
          <w:szCs w:val="21"/>
          <w:lang w:val="en-US" w:eastAsia="zh-CN" w:bidi="ar"/>
        </w:rPr>
      </w:pPr>
      <w:bookmarkStart w:id="417" w:name="_Toc31067"/>
      <w:r>
        <w:rPr>
          <w:rFonts w:hint="eastAsia" w:ascii="黑体" w:hAnsi="黑体" w:eastAsia="黑体" w:cs="黑体"/>
          <w:snapToGrid w:val="0"/>
          <w:color w:val="auto"/>
          <w:kern w:val="0"/>
          <w:sz w:val="21"/>
          <w:szCs w:val="21"/>
          <w:lang w:val="en-US" w:eastAsia="zh-CN" w:bidi="ar"/>
        </w:rPr>
        <w:t xml:space="preserve">6.7.1  </w:t>
      </w:r>
      <w:r>
        <w:rPr>
          <w:rFonts w:hint="eastAsia" w:ascii="黑体" w:hAnsi="黑体" w:eastAsia="黑体" w:cs="黑体"/>
          <w:color w:val="auto"/>
          <w:spacing w:val="11"/>
          <w:sz w:val="21"/>
          <w:szCs w:val="21"/>
          <w:lang w:val="en-US" w:eastAsia="zh-CN"/>
        </w:rPr>
        <w:t>接地要求</w:t>
      </w:r>
    </w:p>
    <w:p w14:paraId="3618BAB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snapToGrid w:val="0"/>
          <w:color w:val="auto"/>
          <w:kern w:val="0"/>
          <w:sz w:val="21"/>
          <w:szCs w:val="21"/>
          <w:lang w:val="en-US" w:eastAsia="zh-CN" w:bidi="ar"/>
        </w:rPr>
        <w:t xml:space="preserve">6.7.1.1  </w:t>
      </w:r>
      <w:r>
        <w:rPr>
          <w:rFonts w:hint="eastAsia" w:ascii="黑体" w:hAnsi="黑体" w:eastAsia="黑体" w:cs="黑体"/>
          <w:color w:val="auto"/>
          <w:spacing w:val="11"/>
          <w:sz w:val="21"/>
          <w:szCs w:val="21"/>
          <w:lang w:val="en-US" w:eastAsia="zh-CN"/>
        </w:rPr>
        <w:t>直观检查</w:t>
      </w:r>
      <w:bookmarkEnd w:id="417"/>
      <w:r>
        <w:rPr>
          <w:rFonts w:hint="eastAsia" w:ascii="黑体" w:hAnsi="黑体" w:eastAsia="黑体" w:cs="黑体"/>
          <w:color w:val="auto"/>
          <w:spacing w:val="11"/>
          <w:sz w:val="21"/>
          <w:szCs w:val="21"/>
          <w:lang w:val="en-US" w:eastAsia="zh-CN"/>
        </w:rPr>
        <w:t xml:space="preserve"> </w:t>
      </w:r>
    </w:p>
    <w:p w14:paraId="11B3125A">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6.7.1.1.1</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具有基本绝缘和外露导电部分的电气设备，除用隔离变压器供电者外，均应连接保护接地线接地。 </w:t>
      </w:r>
    </w:p>
    <w:p w14:paraId="1D1253A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黑体" w:hAnsi="黑体" w:eastAsia="黑体" w:cs="黑体"/>
          <w:snapToGrid w:val="0"/>
          <w:color w:val="auto"/>
          <w:kern w:val="0"/>
          <w:sz w:val="21"/>
          <w:szCs w:val="21"/>
          <w:lang w:val="en-US" w:eastAsia="zh-CN" w:bidi="ar"/>
        </w:rPr>
        <w:t>6.7.1.1.2</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电气装置应根据防火和防电击的需要选用合适的接地系统，系统接地型式符合GB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14050中</w:t>
      </w:r>
      <w:r>
        <w:rPr>
          <w:rFonts w:hint="eastAsia" w:ascii="宋体" w:hAnsi="宋体" w:cs="宋体"/>
          <w:color w:val="auto"/>
          <w:kern w:val="0"/>
          <w:sz w:val="21"/>
          <w:szCs w:val="21"/>
          <w:lang w:val="en-US" w:eastAsia="zh-CN" w:bidi="ar"/>
        </w:rPr>
        <w:t>第5章</w:t>
      </w:r>
      <w:r>
        <w:rPr>
          <w:rFonts w:hint="eastAsia" w:ascii="宋体" w:hAnsi="宋体" w:eastAsia="宋体" w:cs="宋体"/>
          <w:color w:val="auto"/>
          <w:kern w:val="0"/>
          <w:sz w:val="21"/>
          <w:szCs w:val="21"/>
          <w:lang w:val="en-US" w:eastAsia="zh-CN" w:bidi="ar"/>
        </w:rPr>
        <w:t>的要求。</w:t>
      </w:r>
      <w:r>
        <w:rPr>
          <w:rFonts w:hint="eastAsia" w:ascii="宋体" w:hAnsi="宋体" w:eastAsia="宋体" w:cs="宋体"/>
          <w:color w:val="auto"/>
          <w:kern w:val="0"/>
          <w:sz w:val="21"/>
          <w:szCs w:val="21"/>
          <w:lang w:val="en-US" w:eastAsia="zh-CN" w:bidi="ar"/>
        </w:rPr>
        <w:t xml:space="preserve"> </w:t>
      </w:r>
    </w:p>
    <w:p w14:paraId="19B88BBA">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6.7.1.1.3</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保护导体（PE）、保护接地中性导体（PEN）、等电位联结导体和接地极引入线不应接入刀开关或熔断器。</w:t>
      </w:r>
    </w:p>
    <w:p w14:paraId="3B09409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黑体" w:hAnsi="黑体" w:eastAsia="黑体" w:cs="黑体"/>
          <w:snapToGrid w:val="0"/>
          <w:color w:val="auto"/>
          <w:kern w:val="0"/>
          <w:sz w:val="21"/>
          <w:szCs w:val="21"/>
          <w:lang w:val="en-US" w:eastAsia="zh-CN" w:bidi="ar"/>
        </w:rPr>
        <w:t>6.7.1.1.4</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TN-C-S 接地系统在保护导体</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PE</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与中性导体 (N</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分开后就不应再合并</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TN-S 接地系统应分别设置中性导体 (N</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、保护导体</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PE</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29097FF8">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6.7.1.1.5</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保护接地线应防止机械损伤和化学腐蚀。在可能遭到机械损伤处，均应用管子或角钢加以保护。接地线穿过墙壁、楼板和地坪处应加装钢管或其他坚固的保护套管，有化学腐蚀的部位还应采取防腐蚀措施。 </w:t>
      </w:r>
    </w:p>
    <w:p w14:paraId="26E3073C">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6.7.1.1.6</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每台电气设备均应以单独的接地线与接地干线相连接，不得在一个接地线中串接几台电气设备。 </w:t>
      </w:r>
    </w:p>
    <w:p w14:paraId="2282972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黑体" w:hAnsi="黑体" w:eastAsia="黑体" w:cs="黑体"/>
          <w:snapToGrid w:val="0"/>
          <w:color w:val="auto"/>
          <w:kern w:val="0"/>
          <w:sz w:val="21"/>
          <w:szCs w:val="21"/>
          <w:lang w:val="en-US" w:eastAsia="zh-CN" w:bidi="ar"/>
        </w:rPr>
        <w:t>6.7.1.1.7</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接地干线的连接应采用焊接，焊接必须牢固无虚焊。有色金属接地干线不能采用焊接时，可采用螺栓连接。电气设备上的接地线应采用镀锌螺栓连接。 </w:t>
      </w:r>
    </w:p>
    <w:p w14:paraId="754FF206">
      <w:pPr>
        <w:keepNext w:val="0"/>
        <w:keepLines w:val="0"/>
        <w:pageBreakBefore w:val="0"/>
        <w:widowControl/>
        <w:numPr>
          <w:ilvl w:val="0"/>
          <w:numId w:val="0"/>
        </w:numPr>
        <w:tabs>
          <w:tab w:val="right" w:leader="dot" w:pos="9334"/>
        </w:tabs>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pacing w:val="11"/>
          <w:sz w:val="22"/>
          <w:szCs w:val="22"/>
          <w:lang w:val="en-US" w:eastAsia="zh-CN"/>
        </w:rPr>
      </w:pPr>
      <w:r>
        <w:rPr>
          <w:rFonts w:hint="eastAsia" w:ascii="黑体" w:hAnsi="黑体" w:eastAsia="黑体" w:cs="黑体"/>
          <w:snapToGrid w:val="0"/>
          <w:color w:val="auto"/>
          <w:kern w:val="0"/>
          <w:sz w:val="21"/>
          <w:szCs w:val="21"/>
          <w:lang w:val="en-US" w:eastAsia="zh-CN" w:bidi="ar"/>
        </w:rPr>
        <w:t xml:space="preserve">6.7.1.1.8  </w:t>
      </w:r>
      <w:r>
        <w:rPr>
          <w:rFonts w:hint="eastAsia" w:ascii="宋体" w:hAnsi="宋体" w:eastAsia="宋体" w:cs="宋体"/>
          <w:color w:val="auto"/>
          <w:kern w:val="0"/>
          <w:sz w:val="21"/>
          <w:szCs w:val="21"/>
          <w:lang w:val="en-US" w:eastAsia="zh-CN" w:bidi="ar"/>
        </w:rPr>
        <w:t>对于给电气装置供电的干线回路中的保护接地中性导体（PEN ），按机械强度要求铜线不应小于10mm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，采用多芯电缆的芯线作PEN 线时不应小于4mm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。采用电缆或护套电线的芯线作保护导体（PE）时，最小截面不做规定。当PE(PEN）线所用材质与相线相同时，按热稳定要求PE(PEN）线最小截面积应符合表</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的规定。当PE(PEN）线与相线为不同材质时，表</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值应按不同材质的电导值进行换算。</w:t>
      </w:r>
    </w:p>
    <w:p w14:paraId="0D29923C">
      <w:pPr>
        <w:pStyle w:val="301"/>
        <w:bidi w:val="0"/>
        <w:rPr>
          <w:rFonts w:hint="eastAsia"/>
          <w:color w:val="auto"/>
          <w:lang w:val="en-US" w:eastAsia="zh-CN"/>
        </w:rPr>
      </w:pPr>
      <w:bookmarkStart w:id="418" w:name="_Toc19081"/>
      <w:bookmarkStart w:id="419" w:name="_Toc25037"/>
      <w:bookmarkStart w:id="420" w:name="_Toc32315"/>
      <w:bookmarkStart w:id="421" w:name="_Toc23304"/>
      <w:bookmarkStart w:id="422" w:name="_Toc16833"/>
      <w:bookmarkStart w:id="423" w:name="_Toc21792"/>
      <w:bookmarkStart w:id="424" w:name="_Toc14808"/>
      <w:bookmarkStart w:id="425" w:name="_Toc27152"/>
      <w:bookmarkStart w:id="426" w:name="_Toc32050"/>
      <w:bookmarkStart w:id="427" w:name="_Toc22548"/>
      <w:r>
        <w:rPr>
          <w:rFonts w:hint="eastAsia"/>
          <w:color w:val="auto"/>
          <w:lang w:val="en-US" w:eastAsia="zh-CN"/>
        </w:rPr>
        <w:t>相导体截面积与保护导体的最小截面对应关系</w:t>
      </w:r>
      <w:bookmarkEnd w:id="418"/>
      <w:bookmarkEnd w:id="419"/>
      <w:bookmarkEnd w:id="420"/>
      <w:bookmarkEnd w:id="421"/>
      <w:bookmarkEnd w:id="422"/>
      <w:bookmarkEnd w:id="423"/>
      <w:bookmarkEnd w:id="424"/>
      <w:bookmarkEnd w:id="425"/>
      <w:bookmarkEnd w:id="426"/>
      <w:bookmarkEnd w:id="427"/>
    </w:p>
    <w:tbl>
      <w:tblPr>
        <w:tblStyle w:val="8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7"/>
        <w:gridCol w:w="3720"/>
        <w:gridCol w:w="3552"/>
      </w:tblGrid>
      <w:tr w14:paraId="3DDC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B5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相导体截面积S</w:t>
            </w:r>
          </w:p>
          <w:p w14:paraId="5672A4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mm²</w:t>
            </w:r>
          </w:p>
        </w:tc>
        <w:tc>
          <w:tcPr>
            <w:tcW w:w="3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579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保护导体的最小截面积</w:t>
            </w:r>
          </w:p>
          <w:p w14:paraId="2FAA6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mm²</w:t>
            </w:r>
          </w:p>
        </w:tc>
      </w:tr>
      <w:tr w14:paraId="630A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D25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18"/>
                <w:szCs w:val="18"/>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39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保护导体与相导体使用相同材料</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0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保护导体与相导体使用不同材料</w:t>
            </w:r>
          </w:p>
        </w:tc>
      </w:tr>
      <w:tr w14:paraId="0CD0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3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S≤16</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9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90C6">
            <w:pPr>
              <w:keepNext w:val="0"/>
              <w:keepLines w:val="0"/>
              <w:pageBreakBefore w:val="0"/>
              <w:widowControl/>
              <w:kinsoku/>
              <w:wordWrap/>
              <w:overflowPunct/>
              <w:topLinePunct w:val="0"/>
              <w:autoSpaceDE/>
              <w:autoSpaceDN/>
              <w:bidi w:val="0"/>
              <w:adjustRightInd/>
              <w:snapToGrid/>
              <w:jc w:val="center"/>
              <w:rPr>
                <w:rFonts w:hint="default"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position w:val="-24"/>
                <w:sz w:val="18"/>
                <w:szCs w:val="18"/>
                <w:u w:val="none"/>
                <w:lang w:val="en-US" w:eastAsia="zh-CN" w:bidi="ar"/>
              </w:rPr>
              <w:object>
                <v:shape id="_x0000_i1025" o:spt="75" type="#_x0000_t75" style="height:31pt;width:27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tc>
      </w:tr>
      <w:tr w14:paraId="753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C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16&lt;S≤35</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1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16</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1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position w:val="-24"/>
                <w:sz w:val="18"/>
                <w:szCs w:val="18"/>
                <w:u w:val="none"/>
                <w:lang w:val="en-US" w:eastAsia="zh-CN" w:bidi="ar"/>
              </w:rPr>
              <w:object>
                <v:shape id="_x0000_i1026" o:spt="75" type="#_x0000_t75" style="height:31pt;width:33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p>
        </w:tc>
      </w:tr>
      <w:tr w14:paraId="466E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4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S&gt;35</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S/2</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D7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position w:val="-24"/>
                <w:sz w:val="18"/>
                <w:szCs w:val="18"/>
                <w:u w:val="none"/>
                <w:lang w:val="en-US" w:eastAsia="zh-CN" w:bidi="ar"/>
              </w:rPr>
              <w:object>
                <v:shape id="_x0000_i1027" o:spt="75" type="#_x0000_t75" style="height:31pt;width:29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p>
        </w:tc>
      </w:tr>
      <w:tr w14:paraId="4D9D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B9388">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黑体" w:hAnsi="黑体" w:eastAsia="黑体" w:cs="黑体"/>
                <w:i w:val="0"/>
                <w:iCs w:val="0"/>
                <w:snapToGrid w:val="0"/>
                <w:color w:val="auto"/>
                <w:kern w:val="0"/>
                <w:sz w:val="18"/>
                <w:szCs w:val="18"/>
                <w:u w:val="none"/>
                <w:lang w:val="en-US" w:eastAsia="zh-CN" w:bidi="ar"/>
              </w:rPr>
              <w:t>注：</w:t>
            </w:r>
            <w:r>
              <w:rPr>
                <w:rFonts w:hint="eastAsia" w:ascii="宋体" w:hAnsi="宋体" w:eastAsia="宋体" w:cs="宋体"/>
                <w:i w:val="0"/>
                <w:iCs w:val="0"/>
                <w:snapToGrid w:val="0"/>
                <w:color w:val="auto"/>
                <w:kern w:val="0"/>
                <w:sz w:val="18"/>
                <w:szCs w:val="18"/>
                <w:u w:val="none"/>
                <w:lang w:val="en-US" w:eastAsia="zh-CN" w:bidi="ar"/>
              </w:rPr>
              <w:t>S——相导体截面积</w:t>
            </w:r>
          </w:p>
          <w:p w14:paraId="724BE7C3">
            <w:pPr>
              <w:keepNext w:val="0"/>
              <w:keepLines w:val="0"/>
              <w:pageBreakBefore w:val="0"/>
              <w:widowControl/>
              <w:suppressLineNumbers w:val="0"/>
              <w:kinsoku/>
              <w:wordWrap/>
              <w:overflowPunct/>
              <w:topLinePunct w:val="0"/>
              <w:autoSpaceDE/>
              <w:autoSpaceDN/>
              <w:bidi w:val="0"/>
              <w:adjustRightInd/>
              <w:snapToGrid/>
              <w:ind w:firstLine="720" w:firstLineChars="40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k1——相导体系数</w:t>
            </w:r>
          </w:p>
          <w:p w14:paraId="458CCA5F">
            <w:pPr>
              <w:keepNext w:val="0"/>
              <w:keepLines w:val="0"/>
              <w:pageBreakBefore w:val="0"/>
              <w:widowControl/>
              <w:suppressLineNumbers w:val="0"/>
              <w:kinsoku/>
              <w:wordWrap/>
              <w:overflowPunct/>
              <w:topLinePunct w:val="0"/>
              <w:autoSpaceDE/>
              <w:autoSpaceDN/>
              <w:bidi w:val="0"/>
              <w:adjustRightInd/>
              <w:snapToGrid/>
              <w:ind w:firstLine="720" w:firstLineChars="40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18"/>
                <w:szCs w:val="18"/>
                <w:u w:val="none"/>
                <w:lang w:val="en-US" w:eastAsia="zh-CN" w:bidi="ar"/>
              </w:rPr>
              <w:t>k2——保护导体系数</w:t>
            </w:r>
          </w:p>
        </w:tc>
      </w:tr>
    </w:tbl>
    <w:p w14:paraId="61BA367A">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6.7.1.1.9</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电气装置的下列金属部分，均必须接地</w:t>
      </w:r>
      <w:r>
        <w:rPr>
          <w:rFonts w:hint="eastAsia" w:ascii="宋体" w:hAnsi="宋体" w:cs="宋体"/>
          <w:color w:val="auto"/>
          <w:kern w:val="0"/>
          <w:sz w:val="21"/>
          <w:szCs w:val="21"/>
          <w:lang w:val="en-US" w:eastAsia="zh-CN" w:bidi="ar"/>
        </w:rPr>
        <w:t>：</w:t>
      </w:r>
    </w:p>
    <w:p w14:paraId="1EDB01F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电气设备的金属底座、框架及外壳和传动装置</w:t>
      </w:r>
      <w:r>
        <w:rPr>
          <w:rFonts w:hint="eastAsia" w:ascii="宋体" w:hAnsi="宋体" w:cs="宋体"/>
          <w:color w:val="auto"/>
          <w:kern w:val="0"/>
          <w:sz w:val="21"/>
          <w:szCs w:val="21"/>
          <w:lang w:val="en-US" w:eastAsia="zh-CN" w:bidi="ar"/>
        </w:rPr>
        <w:t>；</w:t>
      </w:r>
    </w:p>
    <w:p w14:paraId="093E2C6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携带式或移动式用电器具的金属底座和外壳</w:t>
      </w:r>
      <w:r>
        <w:rPr>
          <w:rFonts w:hint="eastAsia" w:ascii="宋体" w:hAnsi="宋体" w:cs="宋体"/>
          <w:color w:val="auto"/>
          <w:kern w:val="0"/>
          <w:sz w:val="21"/>
          <w:szCs w:val="21"/>
          <w:lang w:val="en-US" w:eastAsia="zh-CN" w:bidi="ar"/>
        </w:rPr>
        <w:t>；</w:t>
      </w:r>
    </w:p>
    <w:p w14:paraId="3A1F10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互感器的二次绕组</w:t>
      </w:r>
      <w:r>
        <w:rPr>
          <w:rFonts w:hint="eastAsia" w:ascii="宋体" w:hAnsi="宋体" w:cs="宋体"/>
          <w:color w:val="auto"/>
          <w:kern w:val="0"/>
          <w:sz w:val="21"/>
          <w:szCs w:val="21"/>
          <w:lang w:val="en-US" w:eastAsia="zh-CN" w:bidi="ar"/>
        </w:rPr>
        <w:t>；</w:t>
      </w:r>
    </w:p>
    <w:p w14:paraId="54E60F7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配电、控制、保护用的屏</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柜、箱</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及操作台的金属框架和底座</w:t>
      </w:r>
      <w:r>
        <w:rPr>
          <w:rFonts w:hint="eastAsia" w:ascii="宋体" w:hAnsi="宋体" w:cs="宋体"/>
          <w:color w:val="auto"/>
          <w:kern w:val="0"/>
          <w:sz w:val="21"/>
          <w:szCs w:val="21"/>
          <w:lang w:val="en-US" w:eastAsia="zh-CN" w:bidi="ar"/>
        </w:rPr>
        <w:t>；</w:t>
      </w:r>
    </w:p>
    <w:p w14:paraId="64A7A42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电力电缆的金属护层、接头盒、终端头和金属保</w:t>
      </w:r>
      <w:r>
        <w:rPr>
          <w:rFonts w:hint="eastAsia" w:ascii="宋体" w:hAnsi="宋体" w:cs="宋体"/>
          <w:color w:val="auto"/>
          <w:kern w:val="0"/>
          <w:sz w:val="21"/>
          <w:szCs w:val="21"/>
          <w:lang w:val="en-US" w:eastAsia="zh-CN" w:bidi="ar"/>
        </w:rPr>
        <w:t>护</w:t>
      </w:r>
      <w:r>
        <w:rPr>
          <w:rFonts w:hint="eastAsia" w:ascii="宋体" w:hAnsi="宋体" w:eastAsia="宋体" w:cs="宋体"/>
          <w:color w:val="auto"/>
          <w:kern w:val="0"/>
          <w:sz w:val="21"/>
          <w:szCs w:val="21"/>
          <w:lang w:val="en-US" w:eastAsia="zh-CN" w:bidi="ar"/>
        </w:rPr>
        <w:t>管及二次电缆的屏蔽层</w:t>
      </w:r>
      <w:r>
        <w:rPr>
          <w:rFonts w:hint="eastAsia" w:ascii="宋体" w:hAnsi="宋体" w:cs="宋体"/>
          <w:color w:val="auto"/>
          <w:kern w:val="0"/>
          <w:sz w:val="21"/>
          <w:szCs w:val="21"/>
          <w:lang w:val="en-US" w:eastAsia="zh-CN" w:bidi="ar"/>
        </w:rPr>
        <w:t>；</w:t>
      </w:r>
    </w:p>
    <w:p w14:paraId="437F124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电缆桥架、支架和井架</w:t>
      </w:r>
      <w:r>
        <w:rPr>
          <w:rFonts w:hint="eastAsia" w:ascii="宋体" w:hAnsi="宋体" w:cs="宋体"/>
          <w:color w:val="auto"/>
          <w:kern w:val="0"/>
          <w:sz w:val="21"/>
          <w:szCs w:val="21"/>
          <w:lang w:val="en-US" w:eastAsia="zh-CN" w:bidi="ar"/>
        </w:rPr>
        <w:t>；</w:t>
      </w:r>
    </w:p>
    <w:p w14:paraId="5F7D19F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电热设备的金属外壳</w:t>
      </w:r>
      <w:r>
        <w:rPr>
          <w:rFonts w:hint="eastAsia" w:ascii="宋体" w:hAnsi="宋体" w:cs="宋体"/>
          <w:color w:val="auto"/>
          <w:kern w:val="0"/>
          <w:sz w:val="21"/>
          <w:szCs w:val="21"/>
          <w:lang w:val="en-US" w:eastAsia="zh-CN" w:bidi="ar"/>
        </w:rPr>
        <w:t>。</w:t>
      </w:r>
    </w:p>
    <w:p w14:paraId="68909BC7">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6.7.1.1.10</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铝导体不应作为埋设于土壤中的接地极和接地连接导体。</w:t>
      </w:r>
    </w:p>
    <w:p w14:paraId="7ED8CA3D">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kern w:val="0"/>
          <w:sz w:val="21"/>
          <w:szCs w:val="21"/>
          <w:lang w:val="en-US" w:eastAsia="zh-CN" w:bidi="ar"/>
        </w:rPr>
        <w:t>6.7.1.2</w:t>
      </w:r>
      <w:r>
        <w:rPr>
          <w:rFonts w:hint="eastAsia" w:ascii="黑体" w:hAnsi="黑体" w:eastAsia="黑体" w:cs="黑体"/>
          <w:color w:val="auto"/>
          <w:spacing w:val="11"/>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14:paraId="6936B67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6.7.1.2.1</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10kV中性点不接地系统的独立变电所，其外露导电部分的保护接地和变压器低压侧中性点 </w:t>
      </w:r>
    </w:p>
    <w:p w14:paraId="73764054">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1"/>
          <w:szCs w:val="21"/>
          <w:lang w:val="en-US" w:eastAsia="zh-CN" w:bidi="ar"/>
        </w:rPr>
        <w:t>的系统接地可共用一组接地装置，其接地电阻阻值不应大于4Ω，在可能的条件下应采取措施减少至2</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以下。 </w:t>
      </w:r>
    </w:p>
    <w:p w14:paraId="6B7A4CA2">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6.7.1.2.2</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10kV中性点经小电阻接地系统的独立变电所，应满足下列条件之一</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121568D3">
      <w:pPr>
        <w:keepNext w:val="0"/>
        <w:keepLines w:val="0"/>
        <w:pageBreakBefore w:val="0"/>
        <w:widowControl/>
        <w:suppressLineNumbers w:val="0"/>
        <w:kinsoku/>
        <w:wordWrap/>
        <w:overflowPunct/>
        <w:topLinePunct w:val="0"/>
        <w:autoSpaceDE/>
        <w:autoSpaceDN/>
        <w:bidi w:val="0"/>
        <w:adjustRightInd/>
        <w:snapToGrid/>
        <w:ind w:left="840" w:leftChars="200" w:hanging="420" w:hangingChars="200"/>
        <w:jc w:val="left"/>
        <w:textAlignment w:val="auto"/>
        <w:rPr>
          <w:color w:val="auto"/>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变压器低压侧中性点的系统接地应用单芯铜质绝缘电缆引至户外单设一组接地装置，与保护接地装置的距离不应小于10m</w:t>
      </w:r>
      <w:r>
        <w:rPr>
          <w:rFonts w:hint="eastAsia" w:ascii="宋体" w:hAnsi="宋体" w:cs="宋体"/>
          <w:color w:val="auto"/>
          <w:kern w:val="0"/>
          <w:sz w:val="21"/>
          <w:szCs w:val="21"/>
          <w:lang w:val="en-US" w:eastAsia="zh-CN" w:bidi="ar"/>
        </w:rPr>
        <w:t>；</w:t>
      </w:r>
    </w:p>
    <w:p w14:paraId="741D8175">
      <w:pPr>
        <w:keepNext w:val="0"/>
        <w:keepLines w:val="0"/>
        <w:pageBreakBefore w:val="0"/>
        <w:widowControl/>
        <w:suppressLineNumbers w:val="0"/>
        <w:kinsoku/>
        <w:wordWrap/>
        <w:overflowPunct/>
        <w:topLinePunct w:val="0"/>
        <w:autoSpaceDE/>
        <w:autoSpaceDN/>
        <w:bidi w:val="0"/>
        <w:adjustRightInd/>
        <w:snapToGrid/>
        <w:ind w:left="840" w:leftChars="200" w:hanging="420" w:hangingChars="200"/>
        <w:jc w:val="left"/>
        <w:textAlignment w:val="auto"/>
        <w:rPr>
          <w:color w:val="auto"/>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变压器低压侧中性点的系统接地不单设接地装置，但共用接地装置的接地电阻阻值不应大于1</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 </w:t>
      </w:r>
    </w:p>
    <w:p w14:paraId="2E05CF53">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 xml:space="preserve">6.7.1.2.3  </w:t>
      </w:r>
      <w:r>
        <w:rPr>
          <w:rFonts w:hint="eastAsia" w:ascii="宋体" w:hAnsi="宋体" w:eastAsia="宋体" w:cs="宋体"/>
          <w:color w:val="auto"/>
          <w:kern w:val="0"/>
          <w:sz w:val="21"/>
          <w:szCs w:val="21"/>
          <w:lang w:val="en-US" w:eastAsia="zh-CN" w:bidi="ar"/>
        </w:rPr>
        <w:t xml:space="preserve">10kV变电所建在建筑物内时，其保护接地和变压器低压侧系统接地应共用一组接地装置， </w:t>
      </w:r>
    </w:p>
    <w:p w14:paraId="24120B1F">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并纳入建筑物的总等电位联结的范围内，其接地电阻应符合下列要求</w:t>
      </w:r>
      <w:r>
        <w:rPr>
          <w:rFonts w:hint="eastAsia" w:ascii="宋体" w:hAnsi="宋体" w:cs="宋体"/>
          <w:color w:val="auto"/>
          <w:kern w:val="0"/>
          <w:sz w:val="21"/>
          <w:szCs w:val="21"/>
          <w:lang w:val="en-US" w:eastAsia="zh-CN" w:bidi="ar"/>
        </w:rPr>
        <w:t>：</w:t>
      </w:r>
    </w:p>
    <w:p w14:paraId="0E24E892">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当变电所无向所外建筑物引出低压供电回路时，对接地电阻无要求</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15A6053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当变电所有向所外建筑物引出低压供电回路时，其接地电阻阻值应符合</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 xml:space="preserve">.7.1.2.1或 </w:t>
      </w:r>
    </w:p>
    <w:p w14:paraId="7BE8296E">
      <w:pPr>
        <w:keepNext w:val="0"/>
        <w:keepLines w:val="0"/>
        <w:pageBreakBefore w:val="0"/>
        <w:widowControl/>
        <w:suppressLineNumbers w:val="0"/>
        <w:kinsoku/>
        <w:wordWrap/>
        <w:overflowPunct/>
        <w:topLinePunct w:val="0"/>
        <w:autoSpaceDE/>
        <w:autoSpaceDN/>
        <w:bidi w:val="0"/>
        <w:adjustRightInd/>
        <w:snapToGrid/>
        <w:ind w:firstLine="840" w:firstLineChars="400"/>
        <w:jc w:val="left"/>
        <w:textAlignment w:val="auto"/>
        <w:rPr>
          <w:color w:val="auto"/>
        </w:rPr>
      </w:pP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 xml:space="preserve">.7.1.2.2 b)的要求。 </w:t>
      </w:r>
    </w:p>
    <w:p w14:paraId="50D8B4FA">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6.7.1.2.4</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低压供电系统无总等电位联结的建筑物内的TN保护接地系统的PE线或PEN线应作重复接地，其接地电阻阻值不应大于10</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 </w:t>
      </w:r>
    </w:p>
    <w:p w14:paraId="773FD7B1">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6.7.1.2.5</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除上述特殊规定外，接地电阻应满足下述要求</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23E8DF6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独立的防雷保护接地电阻应不大于10</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14:paraId="156FD35B">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独立的安全保护接地电阻应不大于4Ω</w:t>
      </w:r>
      <w:r>
        <w:rPr>
          <w:rFonts w:hint="eastAsia" w:ascii="Arial" w:hAnsi="Arial" w:cs="Arial"/>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5138FDFF">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独立的交流工作接地电阻应不大于4</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14:paraId="46EC07CD">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独立的直流工作接地电阻应不大于4</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14:paraId="2FF03646">
      <w:pPr>
        <w:keepNext w:val="0"/>
        <w:keepLines w:val="0"/>
        <w:widowControl/>
        <w:suppressLineNumbers w:val="0"/>
        <w:ind w:firstLine="420" w:firstLineChars="200"/>
        <w:jc w:val="left"/>
        <w:rPr>
          <w:rFonts w:hint="eastAsia" w:ascii="黑体" w:hAnsi="黑体" w:eastAsia="黑体" w:cs="黑体"/>
          <w:snapToGrid w:val="0"/>
          <w:color w:val="auto"/>
          <w:spacing w:val="8"/>
          <w:kern w:val="0"/>
          <w:sz w:val="21"/>
          <w:szCs w:val="21"/>
          <w:lang w:val="en-US" w:eastAsia="zh-CN"/>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防静电接地电阻一般要求不大于100</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w:t>
      </w:r>
    </w:p>
    <w:p w14:paraId="32BBDD0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default"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6.7.2  </w:t>
      </w:r>
      <w:r>
        <w:rPr>
          <w:rFonts w:hint="eastAsia" w:ascii="黑体" w:hAnsi="黑体" w:eastAsia="黑体" w:cs="黑体"/>
          <w:color w:val="auto"/>
          <w:spacing w:val="11"/>
          <w:sz w:val="21"/>
          <w:szCs w:val="21"/>
          <w:lang w:val="en-US" w:eastAsia="zh-CN"/>
        </w:rPr>
        <w:t>等电位联结要求</w:t>
      </w:r>
    </w:p>
    <w:p w14:paraId="513D057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color w:val="auto"/>
          <w:spacing w:val="11"/>
          <w:sz w:val="21"/>
          <w:szCs w:val="21"/>
          <w:lang w:val="en-US" w:eastAsia="zh-CN"/>
        </w:rPr>
      </w:pPr>
      <w:r>
        <w:rPr>
          <w:rFonts w:hint="eastAsia" w:ascii="黑体" w:hAnsi="黑体" w:eastAsia="黑体" w:cs="黑体"/>
          <w:snapToGrid w:val="0"/>
          <w:color w:val="auto"/>
          <w:kern w:val="0"/>
          <w:sz w:val="21"/>
          <w:szCs w:val="21"/>
          <w:lang w:val="en-US" w:eastAsia="zh-CN" w:bidi="ar"/>
        </w:rPr>
        <w:t>6.7.2.1</w:t>
      </w:r>
      <w:r>
        <w:rPr>
          <w:rFonts w:hint="eastAsia" w:ascii="黑体" w:hAnsi="黑体" w:eastAsia="黑体" w:cs="黑体"/>
          <w:color w:val="auto"/>
          <w:spacing w:val="11"/>
          <w:sz w:val="21"/>
          <w:szCs w:val="21"/>
          <w:lang w:val="en-US" w:eastAsia="zh-CN"/>
        </w:rPr>
        <w:t xml:space="preserve"> 直观检查</w:t>
      </w:r>
    </w:p>
    <w:p w14:paraId="34C96490">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6.7.2.1.1</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新建的建筑物内应有总等电位联结。 </w:t>
      </w:r>
    </w:p>
    <w:p w14:paraId="42D3B3ED">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6.7.2.1.2</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等电位联结中各联结点应牢固连接，可靠导电。</w:t>
      </w:r>
    </w:p>
    <w:p w14:paraId="5CDB8DD5">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6.7.2.1.3</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总等电位联结导体的截面不应小于进线回路中PE(PEN）线截面的1/2，但最大不超过25 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11"/>
          <w:szCs w:val="11"/>
          <w:lang w:val="en-US" w:eastAsia="zh-CN" w:bidi="ar"/>
        </w:rPr>
        <w:t xml:space="preserve"> </w:t>
      </w:r>
    </w:p>
    <w:p w14:paraId="2E8EB0B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1"/>
          <w:szCs w:val="21"/>
          <w:lang w:val="en-US" w:eastAsia="zh-CN" w:bidi="ar"/>
        </w:rPr>
        <w:t>铜线，最小不小于6 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铜线。可采用相同导电率的其他材质导线，但均不得采用铝线。当采用钢材时</w:t>
      </w:r>
    </w:p>
    <w:p w14:paraId="45759F8A">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可采用Φ10mm热镀锌圆钢或25×4mm热镀锌扁钢。</w:t>
      </w:r>
    </w:p>
    <w:p w14:paraId="11157CA9">
      <w:pPr>
        <w:pStyle w:val="259"/>
        <w:bidi w:val="0"/>
        <w:rPr>
          <w:rFonts w:hint="eastAsia"/>
          <w:color w:val="auto"/>
          <w:lang w:val="en-US" w:eastAsia="zh-CN"/>
        </w:rPr>
      </w:pPr>
      <w:bookmarkStart w:id="428" w:name="_Toc2377"/>
      <w:bookmarkStart w:id="429" w:name="_Toc6071"/>
      <w:bookmarkStart w:id="430" w:name="_Toc11243"/>
      <w:bookmarkStart w:id="431" w:name="_Toc24192"/>
      <w:bookmarkStart w:id="432" w:name="_Toc2342"/>
      <w:bookmarkStart w:id="433" w:name="_Toc13007"/>
      <w:bookmarkStart w:id="434" w:name="_Toc7055"/>
      <w:bookmarkStart w:id="435" w:name="_Toc28315"/>
      <w:bookmarkStart w:id="436" w:name="_Toc4118"/>
      <w:bookmarkStart w:id="437" w:name="_Toc24159"/>
      <w:bookmarkStart w:id="438" w:name="_Toc1228"/>
      <w:bookmarkStart w:id="439" w:name="_Toc6577"/>
      <w:bookmarkStart w:id="440" w:name="_Toc30136"/>
      <w:bookmarkStart w:id="441" w:name="_Toc28660"/>
      <w:bookmarkStart w:id="442" w:name="_Toc28878"/>
      <w:bookmarkStart w:id="443" w:name="_Toc1479"/>
      <w:bookmarkStart w:id="444" w:name="_Toc8672"/>
      <w:bookmarkStart w:id="445" w:name="_Toc4492"/>
      <w:bookmarkStart w:id="446" w:name="_Toc29513"/>
      <w:bookmarkStart w:id="447" w:name="_Toc23677"/>
      <w:bookmarkStart w:id="448" w:name="_Toc7328"/>
      <w:bookmarkStart w:id="449" w:name="_Toc1648"/>
      <w:bookmarkStart w:id="450" w:name="_Toc15877"/>
      <w:bookmarkStart w:id="451" w:name="_Toc32341"/>
      <w:bookmarkStart w:id="452" w:name="_Toc28125"/>
      <w:r>
        <w:rPr>
          <w:rFonts w:hint="eastAsia" w:hAnsi="Times New Roman" w:cs="Times New Roman"/>
          <w:color w:val="auto"/>
          <w:lang w:val="en-US" w:eastAsia="zh-CN"/>
        </w:rPr>
        <w:t>检测</w:t>
      </w:r>
      <w:r>
        <w:rPr>
          <w:rFonts w:hint="eastAsia" w:cs="Times New Roman"/>
          <w:color w:val="auto"/>
          <w:lang w:val="en-US" w:eastAsia="zh-CN"/>
        </w:rPr>
        <w:t>方法</w:t>
      </w:r>
      <w:bookmarkEnd w:id="428"/>
    </w:p>
    <w:p w14:paraId="66BABE9C">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453" w:name="_Toc3248"/>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检测方法</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6F657951">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4" w:name="_Toc13348"/>
      <w:bookmarkStart w:id="455" w:name="_Toc21039"/>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温度检测</w:t>
      </w:r>
      <w:bookmarkEnd w:id="454"/>
      <w:bookmarkEnd w:id="455"/>
    </w:p>
    <w:p w14:paraId="7621569A">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.1.1 测试方法 </w:t>
      </w:r>
    </w:p>
    <w:p w14:paraId="07D3897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840" w:leftChars="200" w:hanging="420" w:hanging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color w:val="auto"/>
          <w:kern w:val="0"/>
          <w:sz w:val="21"/>
          <w:szCs w:val="21"/>
          <w:lang w:val="en-US" w:eastAsia="zh-CN" w:bidi="ar"/>
        </w:rPr>
        <w:t>使用红外热像仪对电气设备和线路进行全面扫描检测，发现异常发热部位，然后使用红外测温仪对异常发热部位进行测温。</w:t>
      </w:r>
      <w:r>
        <w:rPr>
          <w:rFonts w:hint="eastAsia" w:ascii="宋体" w:hAnsi="宋体" w:eastAsia="宋体" w:cs="宋体"/>
          <w:snapToGrid w:val="0"/>
          <w:color w:val="auto"/>
          <w:kern w:val="0"/>
          <w:sz w:val="21"/>
          <w:szCs w:val="21"/>
          <w:highlight w:val="none"/>
          <w:lang w:val="en-US" w:eastAsia="zh-CN" w:bidi="ar"/>
        </w:rPr>
        <w:t xml:space="preserve"> </w:t>
      </w:r>
    </w:p>
    <w:p w14:paraId="3DC3CE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对异常发热部位，应从不同观测角度进行不少于三次的测温，取其最大值。 </w:t>
      </w:r>
    </w:p>
    <w:p w14:paraId="535A569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c)</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测量时应正确选择被测物体的表面发射率。 </w:t>
      </w:r>
    </w:p>
    <w:p w14:paraId="00452C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测量时应考虑环境温度、相对湿度和测量距离对测量结果的影响。 </w:t>
      </w:r>
    </w:p>
    <w:p w14:paraId="48B3EE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对异常发热部位，应记录异常发热设备的实际负载电流、发热部件的表面温度以及环境温度。 </w:t>
      </w:r>
    </w:p>
    <w:p w14:paraId="47846A82">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.1.2 隐患判定 </w:t>
      </w:r>
    </w:p>
    <w:p w14:paraId="7950E5E1">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.1.2.1 表面温度判断法 </w:t>
      </w:r>
    </w:p>
    <w:p w14:paraId="18EA9ACB">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当受检电气线路和设备在满载的情况下，使用红外测温仪测得电气装置相关发热部位的表面温度，可根据表2、表3、表4、表6给出的温度或温升标准加以比较，判定存在的火灾隐患。 </w:t>
      </w:r>
    </w:p>
    <w:p w14:paraId="03B3DD8C">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当受检的电气线路和设备在低负载率的情况下，使用红外测温仪测得电气装置相关发热部位的表面温度。在低负载率情况下，实测的温度折合到满载情况下的温度与表2、表3、表4、表6的温度或温升标准加以比较，判定存在的火灾隐患。其理论计算公式如下： </w:t>
      </w:r>
    </w:p>
    <w:p w14:paraId="55DDE1E7">
      <w:pPr>
        <w:pStyle w:val="350"/>
        <w:bidi w:val="0"/>
        <w:textAlignment w:val="bottom"/>
        <w:rPr>
          <w:rFonts w:hint="eastAsia" w:ascii="宋体" w:hAnsi="宋体" w:eastAsia="宋体" w:cs="宋体"/>
          <w:b/>
          <w:bCs/>
          <w:color w:val="auto"/>
          <w:spacing w:val="11"/>
          <w:sz w:val="21"/>
          <w:szCs w:val="21"/>
          <w:highlight w:val="none"/>
          <w:lang w:val="en-US" w:eastAsia="zh-CN"/>
        </w:rPr>
      </w:pPr>
      <w:r>
        <w:rPr>
          <w:rFonts w:hint="eastAsia" w:ascii="宋体" w:hAnsi="宋体" w:cs="宋体"/>
          <w:b/>
          <w:bCs/>
          <w:color w:val="auto"/>
          <w:spacing w:val="11"/>
          <w:position w:val="-10"/>
          <w:sz w:val="21"/>
          <w:szCs w:val="21"/>
          <w:highlight w:val="none"/>
          <w:lang w:val="en-US" w:eastAsia="zh-CN"/>
        </w:rPr>
        <w:tab/>
      </w:r>
      <w:r>
        <w:rPr>
          <w:rFonts w:hint="eastAsia" w:ascii="宋体" w:hAnsi="宋体" w:eastAsia="宋体" w:cs="宋体"/>
          <w:b/>
          <w:bCs/>
          <w:color w:val="auto"/>
          <w:spacing w:val="11"/>
          <w:position w:val="-28"/>
          <w:sz w:val="21"/>
          <w:szCs w:val="21"/>
          <w:highlight w:val="none"/>
          <w:lang w:val="en-US" w:eastAsia="zh-CN"/>
        </w:rPr>
        <w:object>
          <v:shape id="_x0000_i1028" o:spt="75" type="#_x0000_t75" style="height:37pt;width:109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r>
        <w:rPr>
          <w:rFonts w:hint="eastAsia" w:hAnsi="宋体" w:cs="宋体"/>
          <w:snapToGrid w:val="0"/>
          <w:color w:val="auto"/>
          <w:kern w:val="0"/>
          <w:sz w:val="21"/>
          <w:szCs w:val="21"/>
          <w:highlight w:val="none"/>
          <w:lang w:val="en-US" w:eastAsia="zh-CN" w:bidi="ar"/>
        </w:rPr>
        <w:tab/>
      </w:r>
      <w:r>
        <w:rPr>
          <w:rFonts w:hint="eastAsia" w:hAnsi="宋体" w:cs="宋体"/>
          <w:snapToGrid w:val="0"/>
          <w:color w:val="auto"/>
          <w:kern w:val="0"/>
          <w:sz w:val="21"/>
          <w:szCs w:val="21"/>
          <w:highlight w:val="none"/>
          <w:lang w:val="en-US" w:eastAsia="zh-CN" w:bidi="ar"/>
        </w:rPr>
        <w:t>(</w:t>
      </w:r>
      <w:r>
        <w:rPr>
          <w:rFonts w:hint="eastAsia" w:hAnsi="宋体" w:cs="宋体"/>
          <w:snapToGrid w:val="0"/>
          <w:color w:val="auto"/>
          <w:kern w:val="0"/>
          <w:sz w:val="21"/>
          <w:szCs w:val="21"/>
          <w:highlight w:val="none"/>
          <w:lang w:val="en-US" w:eastAsia="zh-CN" w:bidi="ar"/>
        </w:rPr>
        <w:fldChar w:fldCharType="begin"/>
      </w:r>
      <w:r>
        <w:rPr>
          <w:rFonts w:hint="eastAsia" w:hAnsi="宋体" w:cs="宋体"/>
          <w:snapToGrid w:val="0"/>
          <w:color w:val="auto"/>
          <w:kern w:val="0"/>
          <w:sz w:val="21"/>
          <w:szCs w:val="21"/>
          <w:highlight w:val="none"/>
          <w:lang w:val="en-US" w:eastAsia="zh-CN" w:bidi="ar"/>
        </w:rPr>
        <w:instrText xml:space="preserve"> SEQ 自动公式编号 \* ARABIC </w:instrText>
      </w:r>
      <w:r>
        <w:rPr>
          <w:rFonts w:hint="eastAsia" w:hAnsi="宋体" w:cs="宋体"/>
          <w:snapToGrid w:val="0"/>
          <w:color w:val="auto"/>
          <w:kern w:val="0"/>
          <w:sz w:val="21"/>
          <w:szCs w:val="21"/>
          <w:highlight w:val="none"/>
          <w:lang w:val="en-US" w:eastAsia="zh-CN" w:bidi="ar"/>
        </w:rPr>
        <w:fldChar w:fldCharType="separate"/>
      </w:r>
      <w:r>
        <w:rPr>
          <w:rFonts w:hint="eastAsia" w:hAnsi="宋体" w:cs="宋体"/>
          <w:snapToGrid w:val="0"/>
          <w:color w:val="auto"/>
          <w:kern w:val="0"/>
          <w:sz w:val="21"/>
          <w:szCs w:val="21"/>
          <w:highlight w:val="none"/>
          <w:lang w:val="en-US" w:eastAsia="zh-CN" w:bidi="ar"/>
        </w:rPr>
        <w:t>1</w:t>
      </w:r>
      <w:r>
        <w:rPr>
          <w:rFonts w:hint="eastAsia" w:hAnsi="宋体" w:cs="宋体"/>
          <w:snapToGrid w:val="0"/>
          <w:color w:val="auto"/>
          <w:kern w:val="0"/>
          <w:sz w:val="21"/>
          <w:szCs w:val="21"/>
          <w:highlight w:val="none"/>
          <w:lang w:val="en-US" w:eastAsia="zh-CN" w:bidi="ar"/>
        </w:rPr>
        <w:fldChar w:fldCharType="end"/>
      </w:r>
      <w:r>
        <w:rPr>
          <w:rFonts w:hint="eastAsia" w:hAnsi="宋体" w:cs="宋体"/>
          <w:snapToGrid w:val="0"/>
          <w:color w:val="auto"/>
          <w:kern w:val="0"/>
          <w:sz w:val="21"/>
          <w:szCs w:val="21"/>
          <w:highlight w:val="none"/>
          <w:lang w:val="en-US" w:eastAsia="zh-CN" w:bidi="ar"/>
        </w:rPr>
        <w:t>)</w:t>
      </w:r>
    </w:p>
    <w:p w14:paraId="32A0FA1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式中：</w:t>
      </w:r>
    </w:p>
    <w:p w14:paraId="7E415795">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position w:val="-12"/>
          <w:sz w:val="21"/>
          <w:szCs w:val="21"/>
          <w:highlight w:val="none"/>
        </w:rPr>
        <w:object>
          <v:shape id="_x0000_i1029" o:spt="75" type="#_x0000_t75" style="height:18pt;width:12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宋体" w:hAnsi="宋体" w:eastAsia="宋体" w:cs="宋体"/>
          <w:b w:val="0"/>
          <w:bCs w:val="0"/>
          <w:color w:val="auto"/>
          <w:spacing w:val="11"/>
          <w:sz w:val="21"/>
          <w:szCs w:val="21"/>
          <w:highlight w:val="none"/>
          <w:lang w:val="en-US" w:eastAsia="zh-CN"/>
        </w:rPr>
        <w:t>——折合到额定电流下的计算温度（℃）；</w:t>
      </w:r>
    </w:p>
    <w:p w14:paraId="141874F9">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sz w:val="21"/>
          <w:szCs w:val="21"/>
          <w:highlight w:val="none"/>
        </w:rPr>
        <w:drawing>
          <wp:inline distT="0" distB="0" distL="114300" distR="114300">
            <wp:extent cx="133350" cy="161925"/>
            <wp:effectExtent l="0" t="0" r="6350" b="254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6"/>
                    <a:stretch>
                      <a:fillRect/>
                    </a:stretch>
                  </pic:blipFill>
                  <pic:spPr>
                    <a:xfrm>
                      <a:off x="0" y="0"/>
                      <a:ext cx="133350" cy="161925"/>
                    </a:xfrm>
                    <a:prstGeom prst="rect">
                      <a:avLst/>
                    </a:prstGeom>
                    <a:noFill/>
                    <a:ln>
                      <a:noFill/>
                    </a:ln>
                  </pic:spPr>
                </pic:pic>
              </a:graphicData>
            </a:graphic>
          </wp:inline>
        </w:drawing>
      </w:r>
      <w:r>
        <w:rPr>
          <w:rFonts w:hint="eastAsia" w:ascii="宋体" w:hAnsi="宋体" w:eastAsia="宋体" w:cs="宋体"/>
          <w:b w:val="0"/>
          <w:bCs w:val="0"/>
          <w:color w:val="auto"/>
          <w:spacing w:val="11"/>
          <w:sz w:val="21"/>
          <w:szCs w:val="21"/>
          <w:highlight w:val="none"/>
          <w:lang w:val="en-US" w:eastAsia="zh-CN"/>
        </w:rPr>
        <w:t xml:space="preserve">——实测负载电流下的温度（℃）； </w:t>
      </w:r>
    </w:p>
    <w:p w14:paraId="5FFEC1AB">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0" o:spt="75" type="#_x0000_t75" style="height:19pt;width:13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——实测环境温度（℃）； </w:t>
      </w:r>
    </w:p>
    <w:p w14:paraId="79D8A1D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1" o:spt="75" type="#_x0000_t75" style="height:18pt;width:12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——额定负载电流（A）； </w:t>
      </w:r>
    </w:p>
    <w:p w14:paraId="77F3820D">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sz w:val="21"/>
          <w:szCs w:val="21"/>
          <w:highlight w:val="none"/>
        </w:rPr>
        <w:drawing>
          <wp:inline distT="0" distB="0" distL="114300" distR="114300">
            <wp:extent cx="123825" cy="161925"/>
            <wp:effectExtent l="0" t="0" r="0" b="254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31"/>
                    <a:stretch>
                      <a:fillRect/>
                    </a:stretch>
                  </pic:blipFill>
                  <pic:spPr>
                    <a:xfrm>
                      <a:off x="0" y="0"/>
                      <a:ext cx="123825" cy="161925"/>
                    </a:xfrm>
                    <a:prstGeom prst="rect">
                      <a:avLst/>
                    </a:prstGeom>
                    <a:noFill/>
                    <a:ln>
                      <a:noFill/>
                    </a:ln>
                  </pic:spPr>
                </pic:pic>
              </a:graphicData>
            </a:graphic>
          </wp:inline>
        </w:drawing>
      </w:r>
      <w:r>
        <w:rPr>
          <w:rFonts w:hint="eastAsia" w:ascii="宋体" w:hAnsi="宋体" w:eastAsia="宋体" w:cs="宋体"/>
          <w:b w:val="0"/>
          <w:bCs w:val="0"/>
          <w:color w:val="auto"/>
          <w:spacing w:val="11"/>
          <w:sz w:val="21"/>
          <w:szCs w:val="21"/>
          <w:highlight w:val="none"/>
          <w:lang w:val="en-US" w:eastAsia="zh-CN"/>
        </w:rPr>
        <w:t xml:space="preserve">——实测负载电流（A）； </w:t>
      </w:r>
    </w:p>
    <w:p w14:paraId="19245683">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2" o:spt="75" type="#_x0000_t75" style="height:18pt;width:13pt;" o:ole="t" filled="f" o:preferrelative="t" stroked="f" coordsize="21600,21600">
            <v:path/>
            <v:fill on="f" focussize="0,0"/>
            <v:stroke on="f"/>
            <v:imagedata r:id="rId33" o:title=""/>
            <o:lock v:ext="edit" aspectratio="t"/>
            <w10:wrap type="none"/>
            <w10:anchorlock/>
          </v:shape>
          <o:OLEObject Type="Embed" ProgID="Equation.KSEE3" ShapeID="_x0000_i1032" DrawAspect="Content" ObjectID="_1468075732" r:id="rId32">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——规定的平均最高环境温度为40℃。 </w:t>
      </w:r>
    </w:p>
    <w:p w14:paraId="204A7F3A">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.1.2.2 比较判断法 </w:t>
      </w:r>
    </w:p>
    <w:p w14:paraId="7B086F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对于电流致热型的同一电气设备，当三相负载电流平衡时，比较对应接线端子的温度（或温</w:t>
      </w:r>
    </w:p>
    <w:p w14:paraId="3DC4A4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升）的差异，可以判定存在的火灾隐患。 </w:t>
      </w:r>
    </w:p>
    <w:p w14:paraId="284F41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对同一回路中几台电流致热型的电气设备，当三相负载电流平衡且彼此相等时，比较其对应</w:t>
      </w:r>
    </w:p>
    <w:p w14:paraId="46AE013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接线端子或其它相关发热部位的温度（或温升）的差异可以判定存在的火灾隐患。当三相负载</w:t>
      </w:r>
      <w:r>
        <w:rPr>
          <w:rFonts w:hint="eastAsia" w:ascii="宋体" w:hAnsi="宋体" w:cs="宋体"/>
          <w:snapToGrid w:val="0"/>
          <w:color w:val="auto"/>
          <w:kern w:val="0"/>
          <w:sz w:val="21"/>
          <w:szCs w:val="21"/>
          <w:highlight w:val="none"/>
          <w:lang w:val="en-US" w:eastAsia="zh-CN" w:bidi="ar"/>
        </w:rPr>
        <w:t>　</w:t>
      </w:r>
    </w:p>
    <w:p w14:paraId="68EF90A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电流不平衡或负载率较低时，应充分考虑实际负载电流对温度（或温升）的影响。 </w:t>
      </w:r>
    </w:p>
    <w:p w14:paraId="7A0C48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对于电压致热型的同一台电气设备，当三相电压平衡时，比较其对应接线端子或其它相关发</w:t>
      </w:r>
    </w:p>
    <w:p w14:paraId="3218BA6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热部位的温度（或温升）的差异，可以判定存在的火灾隐患。 </w:t>
      </w:r>
    </w:p>
    <w:p w14:paraId="2A78ED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对同一回路中几台电压致热型的电气设备，当三相电压平衡且负载端电压相同时，比较其对</w:t>
      </w:r>
    </w:p>
    <w:p w14:paraId="4D8E9E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应接线端子或其它相关发热部位的温度（或温升）的差异，可以判定存在的火灾隐患。当三相</w:t>
      </w:r>
    </w:p>
    <w:p w14:paraId="3EE968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电压不平衡时，应充分考虑三相不平衡电压对温度（或温升）的影响。 </w:t>
      </w:r>
    </w:p>
    <w:p w14:paraId="3572C08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9"/>
        <w:rPr>
          <w:rFonts w:hint="eastAsia" w:ascii="黑体" w:hAnsi="黑体" w:eastAsia="黑体" w:cs="黑体"/>
          <w:color w:val="auto"/>
          <w:sz w:val="21"/>
          <w:szCs w:val="21"/>
          <w:highlight w:val="none"/>
        </w:rPr>
      </w:pPr>
      <w:r>
        <w:rPr>
          <w:rFonts w:hint="eastAsia" w:ascii="黑体" w:hAnsi="黑体" w:eastAsia="黑体" w:cs="黑体"/>
          <w:snapToGrid w:val="0"/>
          <w:color w:val="auto"/>
          <w:spacing w:val="8"/>
          <w:kern w:val="0"/>
          <w:sz w:val="21"/>
          <w:szCs w:val="21"/>
          <w:highlight w:val="none"/>
          <w:lang w:val="en-US" w:eastAsia="zh-CN" w:bidi="ar-SA"/>
        </w:rPr>
        <w:t xml:space="preserve">7.1.1.2.3 </w:t>
      </w:r>
      <w:r>
        <w:rPr>
          <w:rFonts w:hint="eastAsia" w:ascii="黑体" w:hAnsi="黑体" w:eastAsia="黑体" w:cs="黑体"/>
          <w:snapToGrid w:val="0"/>
          <w:color w:val="auto"/>
          <w:kern w:val="0"/>
          <w:sz w:val="21"/>
          <w:szCs w:val="21"/>
          <w:highlight w:val="none"/>
          <w:lang w:val="en-US" w:eastAsia="zh-CN" w:bidi="ar"/>
        </w:rPr>
        <w:t xml:space="preserve">热像图判断法 </w:t>
      </w:r>
    </w:p>
    <w:p w14:paraId="3577DF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根据红外热像仪对电气装置的相关发热部位在正常状态和异常状态下，热像图上温度分布的差异，可以判定存在的火灾隐患。</w:t>
      </w:r>
      <w:r>
        <w:rPr>
          <w:rFonts w:hint="eastAsia" w:ascii="宋体" w:hAnsi="宋体" w:eastAsia="宋体" w:cs="宋体"/>
          <w:snapToGrid w:val="0"/>
          <w:color w:val="auto"/>
          <w:kern w:val="0"/>
          <w:sz w:val="21"/>
          <w:szCs w:val="21"/>
          <w:highlight w:val="none"/>
          <w:lang w:val="en-US" w:eastAsia="zh-CN" w:bidi="ar"/>
        </w:rPr>
        <w:t xml:space="preserve"> </w:t>
      </w:r>
    </w:p>
    <w:p w14:paraId="46E9C6E8">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6" w:name="_Toc14908"/>
      <w:bookmarkStart w:id="457" w:name="_Toc22022"/>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绝缘电阻检测</w:t>
      </w:r>
      <w:bookmarkEnd w:id="456"/>
      <w:bookmarkEnd w:id="457"/>
    </w:p>
    <w:p w14:paraId="044B0DFB">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.2.1</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测试方法</w:t>
      </w:r>
    </w:p>
    <w:p w14:paraId="36BA10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outlineLvl w:val="9"/>
        <w:rPr>
          <w:rFonts w:hint="eastAsia" w:ascii="黑体" w:hAnsi="黑体" w:eastAsia="黑体" w:cs="黑体"/>
          <w:snapToGrid w:val="0"/>
          <w:color w:val="auto"/>
          <w:kern w:val="0"/>
          <w:sz w:val="21"/>
          <w:szCs w:val="21"/>
          <w:highlight w:val="none"/>
          <w:lang w:val="en-US" w:eastAsia="zh-CN" w:bidi="ar"/>
        </w:rPr>
      </w:pPr>
      <w:r>
        <w:rPr>
          <w:rFonts w:hint="eastAsia" w:ascii="黑体" w:hAnsi="黑体" w:eastAsia="黑体" w:cs="黑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一般要求：</w:t>
      </w:r>
      <w:r>
        <w:rPr>
          <w:rFonts w:hint="eastAsia" w:ascii="黑体" w:hAnsi="黑体" w:eastAsia="黑体" w:cs="黑体"/>
          <w:snapToGrid w:val="0"/>
          <w:color w:val="auto"/>
          <w:kern w:val="0"/>
          <w:sz w:val="21"/>
          <w:szCs w:val="21"/>
          <w:highlight w:val="none"/>
          <w:lang w:val="en-US" w:eastAsia="zh-CN" w:bidi="ar"/>
        </w:rPr>
        <w:t xml:space="preserve"> </w:t>
      </w:r>
    </w:p>
    <w:p w14:paraId="14D820B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val="en-US" w:eastAsia="zh-CN" w:bidi="ar"/>
        </w:rPr>
        <w:t xml:space="preserve">绝缘电阻测量应在停电的情况下进行； </w:t>
      </w:r>
    </w:p>
    <w:p w14:paraId="6C3873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测量馈电线路的绝缘电阻时，应将低压断路器、用电设备、电器和仪表等断开； </w:t>
      </w:r>
    </w:p>
    <w:p w14:paraId="599B9E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测量绝缘电阻时，不能承受测试电压的设备或元件应等电位处理或断开； </w:t>
      </w:r>
    </w:p>
    <w:p w14:paraId="796296AB">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绝缘电阻，应使用60s测量时间的绝缘电阻。</w:t>
      </w:r>
      <w:r>
        <w:rPr>
          <w:rFonts w:hint="eastAsia" w:ascii="宋体" w:hAnsi="宋体" w:eastAsia="宋体" w:cs="宋体"/>
          <w:snapToGrid w:val="0"/>
          <w:color w:val="auto"/>
          <w:kern w:val="0"/>
          <w:sz w:val="21"/>
          <w:szCs w:val="21"/>
          <w:highlight w:val="none"/>
          <w:lang w:val="en-US" w:eastAsia="zh-CN" w:bidi="ar"/>
        </w:rPr>
        <w:t xml:space="preserve"> </w:t>
      </w:r>
    </w:p>
    <w:p w14:paraId="0A853662">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.2.</w:t>
      </w:r>
      <w:r>
        <w:rPr>
          <w:rFonts w:hint="eastAsia" w:hAnsi="黑体" w:cs="黑体"/>
          <w:snapToGrid w:val="0"/>
          <w:color w:val="auto"/>
          <w:spacing w:val="8"/>
          <w:kern w:val="0"/>
          <w:sz w:val="21"/>
          <w:szCs w:val="21"/>
          <w:highlight w:val="none"/>
          <w:lang w:val="en-US" w:eastAsia="zh-CN"/>
        </w:rPr>
        <w:t>2</w:t>
      </w:r>
      <w:r>
        <w:rPr>
          <w:rFonts w:hint="eastAsia" w:ascii="黑体" w:hAnsi="黑体" w:eastAsia="黑体" w:cs="黑体"/>
          <w:snapToGrid w:val="0"/>
          <w:color w:val="auto"/>
          <w:spacing w:val="8"/>
          <w:kern w:val="0"/>
          <w:sz w:val="21"/>
          <w:szCs w:val="21"/>
          <w:highlight w:val="none"/>
          <w:lang w:val="en-US" w:eastAsia="zh-CN"/>
        </w:rPr>
        <w:t xml:space="preserve"> 隐患判定 </w:t>
      </w:r>
    </w:p>
    <w:p w14:paraId="0D1B703A">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当检测结果不符合标准有关条款要求时，可判断存在安全隐患。</w:t>
      </w:r>
    </w:p>
    <w:p w14:paraId="7E38C815">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8" w:name="_Toc1053"/>
      <w:bookmarkStart w:id="459" w:name="_Toc19130"/>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.3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接地电阻检测</w:t>
      </w:r>
      <w:bookmarkEnd w:id="458"/>
      <w:bookmarkEnd w:id="459"/>
    </w:p>
    <w:p w14:paraId="07A8C64E">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.3.1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测试方法 </w:t>
      </w:r>
    </w:p>
    <w:p w14:paraId="30BBC1C6">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接地电阻宜采用两辅助接地极的方法进行检测。当TN系统内并联有大量重复接地，可使用</w:t>
      </w:r>
      <w:r>
        <w:rPr>
          <w:rFonts w:hint="eastAsia" w:ascii="宋体" w:hAnsi="宋体" w:cs="宋体"/>
          <w:snapToGrid w:val="0"/>
          <w:color w:val="auto"/>
          <w:kern w:val="0"/>
          <w:sz w:val="21"/>
          <w:szCs w:val="21"/>
          <w:highlight w:val="none"/>
          <w:lang w:val="en-US" w:eastAsia="zh-CN" w:bidi="ar"/>
        </w:rPr>
        <w:t>　</w:t>
      </w:r>
    </w:p>
    <w:p w14:paraId="525C27E9">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钳式接地电阻检测仪进行接地电阻的测量。 </w:t>
      </w:r>
    </w:p>
    <w:p w14:paraId="5C5FE0F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测量总等电位连接、辅助等电位连接在内的保护导体的连续性。 </w:t>
      </w:r>
    </w:p>
    <w:p w14:paraId="56ACBAE3">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.3.2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14:paraId="45C397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color w:val="auto"/>
          <w:kern w:val="0"/>
          <w:sz w:val="21"/>
          <w:szCs w:val="21"/>
          <w:lang w:val="en-US" w:eastAsia="zh-CN" w:bidi="ar"/>
        </w:rPr>
        <w:t>当检测结果不符合标准有关条款要求时，可判断存在安全隐患。</w:t>
      </w:r>
      <w:r>
        <w:rPr>
          <w:rFonts w:hint="eastAsia" w:ascii="宋体" w:hAnsi="宋体" w:eastAsia="宋体" w:cs="宋体"/>
          <w:snapToGrid w:val="0"/>
          <w:color w:val="auto"/>
          <w:kern w:val="0"/>
          <w:sz w:val="21"/>
          <w:szCs w:val="21"/>
          <w:highlight w:val="none"/>
          <w:lang w:val="en-US" w:eastAsia="zh-CN" w:bidi="ar"/>
        </w:rPr>
        <w:t xml:space="preserve"> </w:t>
      </w:r>
    </w:p>
    <w:p w14:paraId="7651849F">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60" w:name="_Toc2083"/>
      <w:bookmarkStart w:id="461" w:name="_Toc7471"/>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.4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电压、电流测量</w:t>
      </w:r>
      <w:bookmarkEnd w:id="460"/>
      <w:bookmarkEnd w:id="461"/>
    </w:p>
    <w:p w14:paraId="5E757DC0">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.4.1 </w:t>
      </w:r>
      <w:r>
        <w:rPr>
          <w:rFonts w:hint="eastAsia" w:hAnsi="黑体" w:cs="黑体"/>
          <w:snapToGrid w:val="0"/>
          <w:color w:val="auto"/>
          <w:spacing w:val="8"/>
          <w:kern w:val="0"/>
          <w:sz w:val="21"/>
          <w:szCs w:val="21"/>
          <w:highlight w:val="none"/>
          <w:lang w:val="en-US" w:eastAsia="zh-CN"/>
        </w:rPr>
        <w:t xml:space="preserve"> 测试</w:t>
      </w:r>
      <w:r>
        <w:rPr>
          <w:rFonts w:hint="eastAsia" w:ascii="黑体" w:hAnsi="黑体" w:eastAsia="黑体" w:cs="黑体"/>
          <w:snapToGrid w:val="0"/>
          <w:color w:val="auto"/>
          <w:spacing w:val="8"/>
          <w:kern w:val="0"/>
          <w:sz w:val="21"/>
          <w:szCs w:val="21"/>
          <w:highlight w:val="none"/>
          <w:lang w:val="en-US" w:eastAsia="zh-CN"/>
        </w:rPr>
        <w:t xml:space="preserve">方法 </w:t>
      </w:r>
    </w:p>
    <w:p w14:paraId="5E5B8D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snapToGrid w:val="0"/>
          <w:color w:val="auto"/>
          <w:kern w:val="0"/>
          <w:sz w:val="21"/>
          <w:szCs w:val="21"/>
          <w:highlight w:val="none"/>
          <w:lang w:val="en-US" w:eastAsia="zh-CN" w:bidi="ar"/>
        </w:rPr>
        <w:t>电压电流有效值测量：对非线性负载比重比较大的低压配电线路，应使用真有效值表测量其</w:t>
      </w:r>
      <w:r>
        <w:rPr>
          <w:rFonts w:hint="eastAsia" w:ascii="宋体" w:hAnsi="宋体" w:cs="宋体"/>
          <w:snapToGrid w:val="0"/>
          <w:color w:val="auto"/>
          <w:kern w:val="0"/>
          <w:sz w:val="21"/>
          <w:szCs w:val="21"/>
          <w:highlight w:val="none"/>
          <w:lang w:val="en-US" w:eastAsia="zh-CN" w:bidi="ar"/>
        </w:rPr>
        <w:t>　　</w:t>
      </w:r>
    </w:p>
    <w:p w14:paraId="0E2EAC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电压、电流值； </w:t>
      </w:r>
    </w:p>
    <w:p w14:paraId="1CC0C7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谐波分量测量：使用谐波分析仪测量各次电压电流谐波成分存在的情况； </w:t>
      </w:r>
    </w:p>
    <w:p w14:paraId="79EB95F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中性导体过载电流测量：中性导体电流是由三相不平衡负载电流和非线性负载电流的三次及</w:t>
      </w:r>
      <w:r>
        <w:rPr>
          <w:rFonts w:hint="eastAsia" w:ascii="宋体" w:hAnsi="宋体" w:cs="宋体"/>
          <w:snapToGrid w:val="0"/>
          <w:color w:val="auto"/>
          <w:kern w:val="0"/>
          <w:sz w:val="21"/>
          <w:szCs w:val="21"/>
          <w:highlight w:val="none"/>
          <w:lang w:val="en-US" w:eastAsia="zh-CN" w:bidi="ar"/>
        </w:rPr>
        <w:t>　</w:t>
      </w:r>
    </w:p>
    <w:p w14:paraId="5A7144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其奇次倍的谐波电流两部分组成。当中性导体截面与相线截面相同时，中性导体电流真有效值</w:t>
      </w:r>
      <w:r>
        <w:rPr>
          <w:rFonts w:hint="eastAsia" w:ascii="宋体" w:hAnsi="宋体" w:cs="宋体"/>
          <w:snapToGrid w:val="0"/>
          <w:color w:val="auto"/>
          <w:kern w:val="0"/>
          <w:sz w:val="21"/>
          <w:szCs w:val="21"/>
          <w:highlight w:val="none"/>
          <w:lang w:val="en-US" w:eastAsia="zh-CN" w:bidi="ar"/>
        </w:rPr>
        <w:t>　</w:t>
      </w:r>
    </w:p>
    <w:p w14:paraId="5E31AE0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不应超过相线电流；当中性导体截面为相线截面两倍时，中性导体电流真有效值不应超过相线</w:t>
      </w:r>
      <w:r>
        <w:rPr>
          <w:rFonts w:hint="eastAsia" w:ascii="宋体" w:hAnsi="宋体" w:cs="宋体"/>
          <w:snapToGrid w:val="0"/>
          <w:color w:val="auto"/>
          <w:kern w:val="0"/>
          <w:sz w:val="21"/>
          <w:szCs w:val="21"/>
          <w:highlight w:val="none"/>
          <w:lang w:val="en-US" w:eastAsia="zh-CN" w:bidi="ar"/>
        </w:rPr>
        <w:t>　</w:t>
      </w:r>
    </w:p>
    <w:p w14:paraId="453FC9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电流的两倍。 </w:t>
      </w:r>
    </w:p>
    <w:p w14:paraId="572FCDD1">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.4.2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14:paraId="56BCFAF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当检测结果不符合标准有关条款要求时，可判断存在安全隐患。</w:t>
      </w:r>
    </w:p>
    <w:p w14:paraId="0644D578">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62" w:name="_Toc26826"/>
      <w:bookmarkStart w:id="463" w:name="_Toc3147"/>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.5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火花和电弧放电检测</w:t>
      </w:r>
      <w:bookmarkEnd w:id="462"/>
      <w:bookmarkEnd w:id="463"/>
    </w:p>
    <w:p w14:paraId="499DC56D">
      <w:pPr>
        <w:pStyle w:val="258"/>
        <w:keepNext w:val="0"/>
        <w:keepLines w:val="0"/>
        <w:pageBreakBefore w:val="0"/>
        <w:widowControl/>
        <w:wordWrap/>
        <w:overflowPunct/>
        <w:topLinePunct w:val="0"/>
        <w:bidi w:val="0"/>
        <w:spacing w:line="240" w:lineRule="auto"/>
        <w:ind w:left="0" w:leftChars="0" w:firstLine="0" w:firstLineChars="0"/>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7.1.5.1  测试方法</w:t>
      </w:r>
    </w:p>
    <w:p w14:paraId="5207AFD9">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.5.1</w:t>
      </w:r>
      <w:r>
        <w:rPr>
          <w:rFonts w:hint="eastAsia" w:hAnsi="黑体" w:cs="黑体"/>
          <w:snapToGrid w:val="0"/>
          <w:color w:val="auto"/>
          <w:spacing w:val="8"/>
          <w:kern w:val="0"/>
          <w:sz w:val="21"/>
          <w:szCs w:val="21"/>
          <w:highlight w:val="none"/>
          <w:lang w:val="en-US" w:eastAsia="zh-CN"/>
        </w:rPr>
        <w:t>.1</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超声波探测法 </w:t>
      </w:r>
    </w:p>
    <w:p w14:paraId="37AB18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使用超声波探测仪检测电气装置是否有火花放电现象。 </w:t>
      </w:r>
    </w:p>
    <w:p w14:paraId="578380E0">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w:t>
      </w:r>
      <w:r>
        <w:rPr>
          <w:rFonts w:hint="eastAsia" w:hAnsi="黑体" w:cs="黑体"/>
          <w:snapToGrid w:val="0"/>
          <w:color w:val="auto"/>
          <w:spacing w:val="8"/>
          <w:kern w:val="0"/>
          <w:sz w:val="21"/>
          <w:szCs w:val="21"/>
          <w:highlight w:val="none"/>
          <w:lang w:val="en-US" w:eastAsia="zh-CN"/>
        </w:rPr>
        <w:t>5.1.2</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痕迹观察法 </w:t>
      </w:r>
    </w:p>
    <w:p w14:paraId="0571941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利用望远镜或视频显微镜观察是否存在放电痕迹、击穿痕迹和熔融痕迹。 </w:t>
      </w:r>
    </w:p>
    <w:p w14:paraId="6AE57803">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.5.</w:t>
      </w:r>
      <w:r>
        <w:rPr>
          <w:rFonts w:hint="eastAsia" w:hAnsi="黑体" w:cs="黑体"/>
          <w:snapToGrid w:val="0"/>
          <w:color w:val="auto"/>
          <w:spacing w:val="8"/>
          <w:kern w:val="0"/>
          <w:sz w:val="21"/>
          <w:szCs w:val="21"/>
          <w:highlight w:val="none"/>
          <w:lang w:val="en-US" w:eastAsia="zh-CN"/>
        </w:rPr>
        <w:t>2</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14:paraId="3EA6A6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当超声波探测仪接收到火花和电弧放电产生的超声波时或观察到放电痕迹时，可判定存在火灾隐 </w:t>
      </w:r>
    </w:p>
    <w:p w14:paraId="449C647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患。</w:t>
      </w:r>
    </w:p>
    <w:p w14:paraId="0C66EDB8">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64" w:name="_Toc29874"/>
      <w:bookmarkStart w:id="465" w:name="_Toc31195"/>
      <w:r>
        <w:rPr>
          <w:rFonts w:hint="eastAsia" w:hAnsi="黑体" w:cs="黑体"/>
          <w:snapToGrid w:val="0"/>
          <w:color w:val="auto"/>
          <w:spacing w:val="8"/>
          <w:kern w:val="0"/>
          <w:sz w:val="21"/>
          <w:szCs w:val="21"/>
          <w:highlight w:val="none"/>
          <w:lang w:val="en-US" w:eastAsia="zh-CN"/>
        </w:rPr>
        <w:t>7.1</w:t>
      </w:r>
      <w:r>
        <w:rPr>
          <w:rFonts w:hint="eastAsia" w:ascii="黑体" w:hAnsi="黑体" w:eastAsia="黑体" w:cs="黑体"/>
          <w:snapToGrid w:val="0"/>
          <w:color w:val="auto"/>
          <w:spacing w:val="8"/>
          <w:kern w:val="0"/>
          <w:sz w:val="21"/>
          <w:szCs w:val="21"/>
          <w:highlight w:val="none"/>
          <w:lang w:val="en-US" w:eastAsia="zh-CN"/>
        </w:rPr>
        <w:t xml:space="preserve">.6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剩余电流有效值检测</w:t>
      </w:r>
      <w:bookmarkEnd w:id="464"/>
      <w:bookmarkEnd w:id="465"/>
    </w:p>
    <w:p w14:paraId="0DCCCAEA">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rPr>
          <w:rFonts w:hint="default" w:ascii="黑体" w:hAnsi="黑体" w:eastAsia="黑体" w:cs="黑体"/>
          <w:snapToGrid w:val="0"/>
          <w:color w:val="auto"/>
          <w:spacing w:val="8"/>
          <w:kern w:val="0"/>
          <w:sz w:val="21"/>
          <w:szCs w:val="21"/>
          <w:highlight w:val="none"/>
          <w:lang w:val="en-US" w:eastAsia="zh-CN" w:bidi="ar-SA"/>
        </w:rPr>
      </w:pPr>
      <w:r>
        <w:rPr>
          <w:rFonts w:hint="eastAsia" w:ascii="黑体" w:hAnsi="黑体" w:eastAsia="黑体" w:cs="黑体"/>
          <w:snapToGrid w:val="0"/>
          <w:color w:val="auto"/>
          <w:spacing w:val="8"/>
          <w:kern w:val="0"/>
          <w:sz w:val="21"/>
          <w:szCs w:val="21"/>
          <w:highlight w:val="none"/>
          <w:lang w:val="en-US" w:eastAsia="zh-CN" w:bidi="ar-SA"/>
        </w:rPr>
        <w:t>7.1.6.1  测试方法</w:t>
      </w:r>
    </w:p>
    <w:p w14:paraId="74A0AD78">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7.1.6.1.1  </w:t>
      </w:r>
      <w:r>
        <w:rPr>
          <w:rFonts w:hint="eastAsia" w:ascii="宋体" w:hAnsi="宋体" w:eastAsia="宋体" w:cs="宋体"/>
          <w:color w:val="auto"/>
          <w:spacing w:val="11"/>
          <w:sz w:val="21"/>
          <w:szCs w:val="21"/>
          <w:highlight w:val="none"/>
          <w:lang w:val="en-US" w:eastAsia="zh-CN"/>
        </w:rPr>
        <w:t>对于低压配电线路绝缘导线的剩余电流保护装置的动作电流，使用剩余电流测试仪测量，根据技术规范规定的剩余电流值，判定存在不安全因素。</w:t>
      </w:r>
    </w:p>
    <w:p w14:paraId="353EEF36">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7.1.6.1.2  </w:t>
      </w:r>
      <w:r>
        <w:rPr>
          <w:rFonts w:hint="eastAsia" w:ascii="宋体" w:hAnsi="宋体" w:eastAsia="宋体" w:cs="宋体"/>
          <w:color w:val="auto"/>
          <w:spacing w:val="11"/>
          <w:sz w:val="21"/>
          <w:szCs w:val="21"/>
          <w:highlight w:val="none"/>
          <w:lang w:val="en-US" w:eastAsia="zh-CN"/>
        </w:rPr>
        <w:t>测量剩余电流可以测量单相的相线和中性线、三相的相线和中性线的剩余电流以及电气设备保护地线(PE线)的剩余电流。</w:t>
      </w:r>
    </w:p>
    <w:p w14:paraId="7CEDACE8">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rPr>
          <w:rFonts w:hint="eastAsia" w:ascii="黑体" w:hAnsi="黑体" w:eastAsia="黑体" w:cs="黑体"/>
          <w:snapToGrid w:val="0"/>
          <w:color w:val="auto"/>
          <w:spacing w:val="8"/>
          <w:kern w:val="0"/>
          <w:sz w:val="21"/>
          <w:szCs w:val="21"/>
          <w:highlight w:val="none"/>
          <w:lang w:val="en-US" w:eastAsia="zh-CN" w:bidi="ar-SA"/>
        </w:rPr>
      </w:pPr>
      <w:r>
        <w:rPr>
          <w:rFonts w:hint="eastAsia" w:ascii="黑体" w:hAnsi="黑体" w:eastAsia="黑体" w:cs="黑体"/>
          <w:snapToGrid w:val="0"/>
          <w:color w:val="auto"/>
          <w:spacing w:val="8"/>
          <w:kern w:val="0"/>
          <w:sz w:val="21"/>
          <w:szCs w:val="21"/>
          <w:highlight w:val="none"/>
          <w:lang w:val="en-US" w:eastAsia="zh-CN" w:bidi="ar-SA"/>
        </w:rPr>
        <w:t>7.1.6.2  隐患判定</w:t>
      </w:r>
    </w:p>
    <w:p w14:paraId="4A44B267">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73" w:line="240" w:lineRule="auto"/>
        <w:ind w:left="0" w:firstLine="420" w:firstLineChars="200"/>
        <w:textAlignment w:val="baseline"/>
        <w:rPr>
          <w:rFonts w:hint="default" w:ascii="宋体" w:hAnsi="宋体" w:eastAsia="宋体" w:cs="宋体"/>
          <w:color w:val="auto"/>
          <w:spacing w:val="11"/>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当检测结果不符合标准有关条款要求时，可判断存在安全隐患。</w:t>
      </w:r>
    </w:p>
    <w:p w14:paraId="65E04566">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466" w:name="_Toc20362"/>
      <w:bookmarkStart w:id="467" w:name="_Toc5487"/>
      <w:bookmarkStart w:id="468" w:name="_Toc16203"/>
      <w:bookmarkStart w:id="469" w:name="_Toc25811"/>
      <w:bookmarkStart w:id="470" w:name="_Toc18618"/>
      <w:bookmarkStart w:id="471" w:name="_Toc5361"/>
      <w:bookmarkStart w:id="472" w:name="_Toc7686"/>
      <w:bookmarkStart w:id="473" w:name="_Toc6973"/>
      <w:bookmarkStart w:id="474" w:name="_Toc4455"/>
      <w:bookmarkStart w:id="475" w:name="_Toc17624"/>
      <w:bookmarkStart w:id="476" w:name="_Toc7127"/>
      <w:bookmarkStart w:id="477" w:name="_Toc27840"/>
      <w:bookmarkStart w:id="478" w:name="_Toc9694"/>
      <w:bookmarkStart w:id="479" w:name="_Toc24176"/>
      <w:bookmarkStart w:id="480" w:name="_Toc29833"/>
      <w:bookmarkStart w:id="481" w:name="_Toc11323"/>
      <w:bookmarkStart w:id="482" w:name="_Toc579"/>
      <w:bookmarkStart w:id="483" w:name="_Toc29472"/>
      <w:bookmarkStart w:id="484" w:name="_Toc20"/>
      <w:bookmarkStart w:id="485" w:name="_Toc10649"/>
      <w:bookmarkStart w:id="486" w:name="_Toc1925"/>
      <w:bookmarkStart w:id="487" w:name="_Toc18842"/>
      <w:bookmarkStart w:id="488" w:name="_Toc19069"/>
      <w:bookmarkStart w:id="489" w:name="_Toc18860"/>
      <w:bookmarkStart w:id="490" w:name="_Toc21994"/>
      <w:r>
        <w:rPr>
          <w:rFonts w:hint="eastAsia" w:hAnsi="黑体" w:cs="黑体"/>
          <w:snapToGrid w:val="0"/>
          <w:color w:val="auto"/>
          <w:spacing w:val="8"/>
          <w:kern w:val="0"/>
          <w:sz w:val="21"/>
          <w:szCs w:val="21"/>
          <w:highlight w:val="none"/>
          <w:lang w:val="en-US" w:eastAsia="zh-CN"/>
        </w:rPr>
        <w:t>7.2</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判定标准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7C20F2F3">
      <w:pPr>
        <w:pStyle w:val="261"/>
        <w:keepNext w:val="0"/>
        <w:keepLines w:val="0"/>
        <w:pageBreakBefore w:val="0"/>
        <w:widowControl/>
        <w:numPr>
          <w:ilvl w:val="3"/>
          <w:numId w:val="0"/>
        </w:numPr>
        <w:wordWrap/>
        <w:overflowPunct/>
        <w:topLinePunct w:val="0"/>
        <w:bidi w:val="0"/>
        <w:spacing w:line="240" w:lineRule="auto"/>
        <w:ind w:left="0" w:leftChars="0" w:firstLine="0" w:firstLineChars="0"/>
        <w:outlineLvl w:val="3"/>
        <w:rPr>
          <w:rFonts w:hint="default"/>
          <w:color w:val="auto"/>
          <w:highlight w:val="none"/>
          <w:lang w:val="en-US" w:eastAsia="zh-CN"/>
        </w:rPr>
      </w:pPr>
      <w:bookmarkStart w:id="491" w:name="_Toc15769"/>
      <w:bookmarkStart w:id="492" w:name="_Toc588"/>
      <w:r>
        <w:rPr>
          <w:rFonts w:hint="eastAsia" w:hAnsi="黑体" w:cs="黑体"/>
          <w:snapToGrid w:val="0"/>
          <w:color w:val="auto"/>
          <w:spacing w:val="8"/>
          <w:kern w:val="0"/>
          <w:sz w:val="21"/>
          <w:szCs w:val="21"/>
          <w:highlight w:val="none"/>
          <w:lang w:val="en-US" w:eastAsia="zh-CN"/>
        </w:rPr>
        <w:t>7.2</w:t>
      </w:r>
      <w:r>
        <w:rPr>
          <w:rFonts w:hint="eastAsia"/>
          <w:color w:val="auto"/>
          <w:highlight w:val="none"/>
          <w:lang w:val="en-US" w:eastAsia="zh-CN"/>
        </w:rPr>
        <w:t>.1  单项条款火灾危险等级确定</w:t>
      </w:r>
      <w:bookmarkEnd w:id="491"/>
      <w:bookmarkEnd w:id="492"/>
    </w:p>
    <w:p w14:paraId="15A62DCF">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7.2.1.1  </w:t>
      </w:r>
      <w:r>
        <w:rPr>
          <w:rFonts w:hint="eastAsia" w:ascii="宋体" w:hAnsi="宋体" w:eastAsia="宋体" w:cs="宋体"/>
          <w:color w:val="auto"/>
          <w:spacing w:val="8"/>
          <w:sz w:val="21"/>
          <w:szCs w:val="21"/>
          <w:highlight w:val="none"/>
          <w:lang w:val="en-US" w:eastAsia="zh-CN"/>
        </w:rPr>
        <w:t>检测</w:t>
      </w:r>
      <w:r>
        <w:rPr>
          <w:rFonts w:hint="eastAsia" w:ascii="宋体" w:hAnsi="宋体" w:cs="宋体"/>
          <w:color w:val="auto"/>
          <w:spacing w:val="8"/>
          <w:sz w:val="21"/>
          <w:szCs w:val="21"/>
          <w:highlight w:val="none"/>
          <w:lang w:val="en-US" w:eastAsia="zh-CN"/>
        </w:rPr>
        <w:t>项目按</w:t>
      </w:r>
      <w:r>
        <w:rPr>
          <w:rFonts w:hint="eastAsia" w:ascii="宋体" w:hAnsi="宋体" w:eastAsia="宋体" w:cs="宋体"/>
          <w:color w:val="auto"/>
          <w:spacing w:val="8"/>
          <w:sz w:val="21"/>
          <w:szCs w:val="21"/>
          <w:highlight w:val="none"/>
          <w:lang w:val="en-US" w:eastAsia="zh-CN"/>
        </w:rPr>
        <w:t>其</w:t>
      </w:r>
      <w:r>
        <w:rPr>
          <w:rFonts w:hint="eastAsia" w:ascii="宋体" w:hAnsi="宋体" w:cs="宋体"/>
          <w:color w:val="auto"/>
          <w:spacing w:val="8"/>
          <w:sz w:val="21"/>
          <w:szCs w:val="21"/>
          <w:highlight w:val="none"/>
          <w:lang w:val="en-US" w:eastAsia="zh-CN"/>
        </w:rPr>
        <w:t>电气</w:t>
      </w:r>
      <w:r>
        <w:rPr>
          <w:rFonts w:hint="eastAsia" w:ascii="宋体" w:hAnsi="宋体" w:eastAsia="宋体" w:cs="宋体"/>
          <w:color w:val="auto"/>
          <w:spacing w:val="8"/>
          <w:sz w:val="21"/>
          <w:szCs w:val="21"/>
          <w:highlight w:val="none"/>
          <w:lang w:val="en-US" w:eastAsia="zh-CN"/>
        </w:rPr>
        <w:t>火灾危险</w:t>
      </w:r>
      <w:r>
        <w:rPr>
          <w:rFonts w:hint="eastAsia" w:ascii="宋体" w:hAnsi="宋体" w:cs="宋体"/>
          <w:color w:val="auto"/>
          <w:spacing w:val="8"/>
          <w:sz w:val="21"/>
          <w:szCs w:val="21"/>
          <w:highlight w:val="none"/>
          <w:lang w:val="en-US" w:eastAsia="zh-CN"/>
        </w:rPr>
        <w:t>性</w:t>
      </w:r>
      <w:r>
        <w:rPr>
          <w:rFonts w:hint="eastAsia" w:ascii="宋体" w:hAnsi="宋体" w:eastAsia="宋体" w:cs="宋体"/>
          <w:color w:val="auto"/>
          <w:spacing w:val="8"/>
          <w:sz w:val="21"/>
          <w:szCs w:val="21"/>
          <w:highlight w:val="none"/>
          <w:lang w:val="en-US" w:eastAsia="zh-CN"/>
        </w:rPr>
        <w:t>划分为A、B、C三级。</w:t>
      </w:r>
      <w:r>
        <w:rPr>
          <w:rFonts w:hint="eastAsia"/>
          <w:color w:val="auto"/>
          <w:lang w:val="en-US" w:eastAsia="zh-CN"/>
        </w:rPr>
        <w:t>其中</w:t>
      </w:r>
      <w:r>
        <w:rPr>
          <w:rFonts w:hint="eastAsia" w:ascii="宋体" w:hAnsi="宋体" w:eastAsia="宋体" w:cs="宋体"/>
          <w:color w:val="auto"/>
          <w:lang w:val="en-US" w:eastAsia="zh-CN"/>
        </w:rPr>
        <w:t>A</w:t>
      </w:r>
      <w:r>
        <w:rPr>
          <w:rFonts w:hint="eastAsia"/>
          <w:color w:val="auto"/>
          <w:lang w:val="en-US" w:eastAsia="zh-CN"/>
        </w:rPr>
        <w:t>级项是</w:t>
      </w:r>
      <w:r>
        <w:rPr>
          <w:rFonts w:hint="eastAsia" w:ascii="宋体" w:hAnsi="宋体" w:eastAsia="宋体" w:cs="宋体"/>
          <w:color w:val="auto"/>
          <w:spacing w:val="8"/>
          <w:sz w:val="21"/>
          <w:szCs w:val="21"/>
          <w:highlight w:val="none"/>
          <w:lang w:val="en-US" w:eastAsia="zh-CN"/>
        </w:rPr>
        <w:t>指电气火灾危险性</w:t>
      </w:r>
      <w:r>
        <w:rPr>
          <w:rFonts w:hint="eastAsia" w:hAnsi="宋体" w:cs="宋体"/>
          <w:color w:val="auto"/>
          <w:spacing w:val="8"/>
          <w:sz w:val="21"/>
          <w:szCs w:val="21"/>
          <w:highlight w:val="none"/>
          <w:lang w:val="en-US" w:eastAsia="zh-CN"/>
        </w:rPr>
        <w:t>高</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kern w:val="0"/>
          <w:sz w:val="21"/>
          <w:szCs w:val="21"/>
          <w:lang w:val="en-US" w:eastAsia="zh-CN" w:bidi="ar"/>
        </w:rPr>
        <w:t>若不及时整改可能引发火灾</w:t>
      </w:r>
      <w:r>
        <w:rPr>
          <w:rFonts w:hint="eastAsia"/>
          <w:color w:val="auto"/>
          <w:lang w:val="en-US" w:eastAsia="zh-CN"/>
        </w:rPr>
        <w:t>。</w:t>
      </w:r>
      <w:r>
        <w:rPr>
          <w:rFonts w:hint="eastAsia" w:ascii="宋体" w:hAnsi="宋体" w:eastAsia="宋体" w:cs="宋体"/>
          <w:color w:val="auto"/>
          <w:lang w:val="en-US" w:eastAsia="zh-CN"/>
        </w:rPr>
        <w:t>B</w:t>
      </w:r>
      <w:r>
        <w:rPr>
          <w:rFonts w:hint="eastAsia"/>
          <w:color w:val="auto"/>
          <w:lang w:val="en-US" w:eastAsia="zh-CN"/>
        </w:rPr>
        <w:t>级项是指</w:t>
      </w:r>
      <w:r>
        <w:rPr>
          <w:rFonts w:hint="eastAsia" w:ascii="宋体" w:hAnsi="宋体" w:eastAsia="宋体" w:cs="宋体"/>
          <w:color w:val="auto"/>
          <w:spacing w:val="8"/>
          <w:sz w:val="21"/>
          <w:szCs w:val="21"/>
          <w:highlight w:val="none"/>
          <w:lang w:val="en-US" w:eastAsia="zh-CN"/>
        </w:rPr>
        <w:t>电气火灾危险性</w:t>
      </w:r>
      <w:r>
        <w:rPr>
          <w:rFonts w:hint="eastAsia" w:hAnsi="宋体" w:cs="宋体"/>
          <w:color w:val="auto"/>
          <w:spacing w:val="8"/>
          <w:sz w:val="21"/>
          <w:szCs w:val="21"/>
          <w:highlight w:val="none"/>
          <w:lang w:val="en-US" w:eastAsia="zh-CN"/>
        </w:rPr>
        <w:t>较高</w:t>
      </w:r>
      <w:r>
        <w:rPr>
          <w:rFonts w:hint="eastAsia"/>
          <w:color w:val="auto"/>
          <w:lang w:val="en-US" w:eastAsia="zh-CN"/>
        </w:rPr>
        <w:t>，引发火灾的可能性较大。</w:t>
      </w:r>
      <w:r>
        <w:rPr>
          <w:rFonts w:hint="eastAsia" w:ascii="宋体" w:hAnsi="宋体" w:eastAsia="宋体" w:cs="宋体"/>
          <w:color w:val="auto"/>
          <w:lang w:val="en-US" w:eastAsia="zh-CN"/>
        </w:rPr>
        <w:t>C</w:t>
      </w:r>
      <w:r>
        <w:rPr>
          <w:rFonts w:hint="eastAsia"/>
          <w:color w:val="auto"/>
          <w:lang w:val="en-US" w:eastAsia="zh-CN"/>
        </w:rPr>
        <w:t>类项是指存在一般</w:t>
      </w:r>
      <w:r>
        <w:rPr>
          <w:rFonts w:hint="eastAsia" w:ascii="宋体" w:hAnsi="宋体" w:eastAsia="宋体" w:cs="宋体"/>
          <w:color w:val="auto"/>
          <w:spacing w:val="8"/>
          <w:sz w:val="21"/>
          <w:szCs w:val="21"/>
          <w:highlight w:val="none"/>
          <w:lang w:val="en-US" w:eastAsia="zh-CN"/>
        </w:rPr>
        <w:t>电气</w:t>
      </w:r>
      <w:r>
        <w:rPr>
          <w:rFonts w:hint="eastAsia"/>
          <w:color w:val="auto"/>
          <w:lang w:val="en-US" w:eastAsia="zh-CN"/>
        </w:rPr>
        <w:t>火灾危险，长时间运行可能引发火灾。</w:t>
      </w:r>
      <w:r>
        <w:rPr>
          <w:rFonts w:hint="eastAsia" w:ascii="宋体" w:hAnsi="宋体" w:eastAsia="宋体" w:cs="宋体"/>
          <w:color w:val="auto"/>
          <w:spacing w:val="8"/>
          <w:sz w:val="21"/>
          <w:szCs w:val="21"/>
          <w:highlight w:val="none"/>
          <w:lang w:val="en-US" w:eastAsia="zh-CN"/>
        </w:rPr>
        <w:t xml:space="preserve"> </w:t>
      </w:r>
    </w:p>
    <w:p w14:paraId="3542E20B">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7.2.1.2  </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A级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建议立即整改；</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B级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建议重点监测、及时整改；</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C级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 xml:space="preserve">建议跟踪监测、适时整改。 </w:t>
      </w:r>
    </w:p>
    <w:p w14:paraId="3AEED840">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7.2.1.3  </w:t>
      </w:r>
      <w:r>
        <w:rPr>
          <w:rFonts w:hint="eastAsia" w:ascii="宋体" w:hAnsi="宋体" w:eastAsia="宋体" w:cs="宋体"/>
          <w:color w:val="auto"/>
          <w:spacing w:val="8"/>
          <w:sz w:val="21"/>
          <w:szCs w:val="21"/>
          <w:highlight w:val="none"/>
          <w:lang w:val="en-US" w:eastAsia="zh-CN"/>
        </w:rPr>
        <w:t>本</w:t>
      </w:r>
      <w:r>
        <w:rPr>
          <w:rFonts w:hint="eastAsia" w:ascii="宋体" w:hAnsi="宋体" w:cs="宋体"/>
          <w:color w:val="auto"/>
          <w:spacing w:val="8"/>
          <w:sz w:val="21"/>
          <w:szCs w:val="21"/>
          <w:highlight w:val="none"/>
          <w:lang w:val="en-US" w:eastAsia="zh-CN"/>
        </w:rPr>
        <w:t>规程检查</w:t>
      </w:r>
      <w:r>
        <w:rPr>
          <w:rFonts w:hint="eastAsia" w:ascii="宋体" w:hAnsi="宋体" w:eastAsia="宋体" w:cs="宋体"/>
          <w:color w:val="auto"/>
          <w:spacing w:val="8"/>
          <w:sz w:val="21"/>
          <w:szCs w:val="21"/>
          <w:highlight w:val="none"/>
          <w:lang w:val="en-US" w:eastAsia="zh-CN"/>
        </w:rPr>
        <w:t>条款的危险等级</w:t>
      </w:r>
      <w:r>
        <w:rPr>
          <w:rFonts w:hint="eastAsia" w:ascii="宋体" w:hAnsi="宋体" w:cs="宋体"/>
          <w:color w:val="auto"/>
          <w:spacing w:val="8"/>
          <w:sz w:val="21"/>
          <w:szCs w:val="21"/>
          <w:highlight w:val="none"/>
          <w:lang w:val="en-US" w:eastAsia="zh-CN"/>
        </w:rPr>
        <w:t>按附录C划分</w:t>
      </w:r>
      <w:r>
        <w:rPr>
          <w:rFonts w:hint="eastAsia" w:ascii="宋体" w:hAnsi="宋体" w:eastAsia="宋体" w:cs="宋体"/>
          <w:color w:val="auto"/>
          <w:spacing w:val="8"/>
          <w:sz w:val="21"/>
          <w:szCs w:val="21"/>
          <w:highlight w:val="none"/>
          <w:lang w:val="en-US" w:eastAsia="zh-CN"/>
        </w:rPr>
        <w:t>。</w:t>
      </w:r>
    </w:p>
    <w:p w14:paraId="4C55E191">
      <w:pPr>
        <w:pStyle w:val="261"/>
        <w:keepNext w:val="0"/>
        <w:keepLines w:val="0"/>
        <w:pageBreakBefore w:val="0"/>
        <w:widowControl/>
        <w:numPr>
          <w:ilvl w:val="3"/>
          <w:numId w:val="0"/>
        </w:numPr>
        <w:kinsoku/>
        <w:wordWrap/>
        <w:overflowPunct/>
        <w:topLinePunct w:val="0"/>
        <w:autoSpaceDE/>
        <w:autoSpaceDN/>
        <w:bidi w:val="0"/>
        <w:adjustRightInd/>
        <w:snapToGrid/>
        <w:spacing w:before="0" w:beforeLines="50" w:after="0" w:afterLines="50" w:line="240" w:lineRule="auto"/>
        <w:ind w:left="0" w:leftChars="0" w:firstLine="0" w:firstLineChars="0"/>
        <w:textAlignment w:val="auto"/>
        <w:outlineLvl w:val="3"/>
        <w:rPr>
          <w:rFonts w:hint="eastAsia" w:ascii="宋体" w:hAnsi="宋体" w:eastAsia="宋体" w:cs="宋体"/>
          <w:color w:val="auto"/>
          <w:spacing w:val="8"/>
          <w:sz w:val="21"/>
          <w:szCs w:val="21"/>
          <w:highlight w:val="none"/>
          <w:lang w:val="en-US" w:eastAsia="zh-CN"/>
        </w:rPr>
      </w:pPr>
      <w:bookmarkStart w:id="493" w:name="_Toc769"/>
      <w:bookmarkStart w:id="494" w:name="_Toc30306"/>
      <w:r>
        <w:rPr>
          <w:rFonts w:hint="eastAsia" w:hAnsi="黑体" w:cs="黑体"/>
          <w:snapToGrid w:val="0"/>
          <w:color w:val="auto"/>
          <w:spacing w:val="8"/>
          <w:kern w:val="0"/>
          <w:sz w:val="21"/>
          <w:szCs w:val="21"/>
          <w:highlight w:val="none"/>
          <w:lang w:val="en-US" w:eastAsia="zh-CN"/>
        </w:rPr>
        <w:t>7.2</w:t>
      </w:r>
      <w:r>
        <w:rPr>
          <w:rFonts w:hint="eastAsia"/>
          <w:color w:val="auto"/>
          <w:highlight w:val="none"/>
          <w:lang w:val="en-US" w:eastAsia="zh-CN"/>
        </w:rPr>
        <w:t>.2  建筑电气被测部分火灾危险等级评定</w:t>
      </w:r>
      <w:bookmarkEnd w:id="493"/>
      <w:bookmarkEnd w:id="494"/>
    </w:p>
    <w:p w14:paraId="721A7369">
      <w:pPr>
        <w:keepNext w:val="0"/>
        <w:keepLines w:val="0"/>
        <w:widowControl/>
        <w:suppressLineNumbers w:val="0"/>
        <w:jc w:val="left"/>
        <w:rPr>
          <w:rFonts w:hint="eastAsia" w:ascii="宋体" w:hAnsi="宋体" w:cs="宋体"/>
          <w:color w:val="auto"/>
          <w:spacing w:val="8"/>
          <w:kern w:val="0"/>
          <w:sz w:val="21"/>
          <w:szCs w:val="21"/>
          <w:highlight w:val="none"/>
          <w:lang w:val="en-US" w:eastAsia="zh-CN" w:bidi="ar-SA"/>
        </w:rPr>
      </w:pPr>
      <w:r>
        <w:rPr>
          <w:rFonts w:hint="eastAsia" w:ascii="黑体" w:hAnsi="黑体" w:eastAsia="黑体" w:cs="黑体"/>
          <w:color w:val="auto"/>
          <w:spacing w:val="8"/>
          <w:sz w:val="21"/>
          <w:szCs w:val="21"/>
          <w:highlight w:val="none"/>
          <w:lang w:val="en-US" w:eastAsia="zh-CN"/>
        </w:rPr>
        <w:t xml:space="preserve">7.2.2.1  </w:t>
      </w:r>
      <w:r>
        <w:rPr>
          <w:rFonts w:hint="eastAsia" w:ascii="宋体" w:hAnsi="宋体" w:eastAsia="宋体" w:cs="宋体"/>
          <w:color w:val="auto"/>
          <w:spacing w:val="8"/>
          <w:kern w:val="0"/>
          <w:sz w:val="21"/>
          <w:szCs w:val="21"/>
          <w:highlight w:val="none"/>
          <w:lang w:val="en-US" w:eastAsia="zh-CN" w:bidi="ar-SA"/>
        </w:rPr>
        <w:t>检测评定按照技术要点项→综合评定的程序进行</w:t>
      </w:r>
      <w:r>
        <w:rPr>
          <w:rFonts w:hint="eastAsia" w:ascii="宋体" w:hAnsi="宋体" w:cs="宋体"/>
          <w:color w:val="auto"/>
          <w:spacing w:val="8"/>
          <w:kern w:val="0"/>
          <w:sz w:val="21"/>
          <w:szCs w:val="21"/>
          <w:highlight w:val="none"/>
          <w:lang w:val="en-US" w:eastAsia="zh-CN" w:bidi="ar-SA"/>
        </w:rPr>
        <w:t>。技术要点项、子项、单项分类见表8。</w:t>
      </w:r>
    </w:p>
    <w:p w14:paraId="6E3FFC45">
      <w:pPr>
        <w:pStyle w:val="301"/>
        <w:bidi w:val="0"/>
        <w:rPr>
          <w:rFonts w:hint="eastAsia" w:ascii="黑体" w:hAnsi="黑体" w:eastAsia="黑体" w:cs="黑体"/>
          <w:color w:val="auto"/>
          <w:spacing w:val="8"/>
          <w:szCs w:val="21"/>
          <w:highlight w:val="none"/>
          <w:lang w:val="en-US" w:eastAsia="zh-CN"/>
        </w:rPr>
      </w:pPr>
      <w:bookmarkStart w:id="495" w:name="_Toc3966"/>
      <w:bookmarkStart w:id="496" w:name="_Toc14542"/>
      <w:bookmarkStart w:id="497" w:name="_Toc8900"/>
      <w:bookmarkStart w:id="498" w:name="_Toc21487"/>
      <w:bookmarkStart w:id="499" w:name="_Toc32127"/>
      <w:bookmarkStart w:id="500" w:name="_Toc170"/>
      <w:bookmarkStart w:id="501" w:name="_Toc27673"/>
      <w:bookmarkStart w:id="502" w:name="_Toc6819"/>
      <w:bookmarkStart w:id="503" w:name="_Toc6537"/>
      <w:bookmarkStart w:id="504" w:name="_Toc28341"/>
      <w:r>
        <w:rPr>
          <w:rFonts w:hint="eastAsia"/>
          <w:color w:val="auto"/>
          <w:lang w:val="en-US" w:eastAsia="zh-CN"/>
        </w:rPr>
        <w:t>技术要点项、子项、单项分类</w:t>
      </w:r>
      <w:bookmarkEnd w:id="495"/>
      <w:bookmarkEnd w:id="496"/>
      <w:bookmarkEnd w:id="497"/>
      <w:bookmarkEnd w:id="498"/>
      <w:bookmarkEnd w:id="499"/>
      <w:bookmarkEnd w:id="500"/>
      <w:bookmarkEnd w:id="501"/>
      <w:bookmarkEnd w:id="502"/>
      <w:bookmarkEnd w:id="503"/>
      <w:bookmarkEnd w:id="504"/>
    </w:p>
    <w:tbl>
      <w:tblPr>
        <w:tblStyle w:val="8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3"/>
        <w:gridCol w:w="2393"/>
        <w:gridCol w:w="2393"/>
      </w:tblGrid>
      <w:tr w14:paraId="1DC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5B9B95E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检测对象</w:t>
            </w:r>
          </w:p>
        </w:tc>
        <w:tc>
          <w:tcPr>
            <w:tcW w:w="2393" w:type="dxa"/>
            <w:vAlign w:val="center"/>
          </w:tcPr>
          <w:p w14:paraId="33B5503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技术要点项</w:t>
            </w:r>
          </w:p>
        </w:tc>
        <w:tc>
          <w:tcPr>
            <w:tcW w:w="2393" w:type="dxa"/>
            <w:vAlign w:val="center"/>
          </w:tcPr>
          <w:p w14:paraId="5642841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子项</w:t>
            </w:r>
          </w:p>
        </w:tc>
        <w:tc>
          <w:tcPr>
            <w:tcW w:w="2393" w:type="dxa"/>
            <w:vAlign w:val="center"/>
          </w:tcPr>
          <w:p w14:paraId="7C96600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单项</w:t>
            </w:r>
          </w:p>
        </w:tc>
      </w:tr>
      <w:tr w14:paraId="17A6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16C226A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变配电装置</w:t>
            </w:r>
          </w:p>
        </w:tc>
        <w:tc>
          <w:tcPr>
            <w:tcW w:w="2393" w:type="dxa"/>
            <w:vAlign w:val="center"/>
          </w:tcPr>
          <w:p w14:paraId="013BCA1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.1.1.1.1～5各项</w:t>
            </w:r>
          </w:p>
          <w:p w14:paraId="30E6D5F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.1.1.2.1～</w:t>
            </w:r>
            <w:r>
              <w:rPr>
                <w:rFonts w:hint="eastAsia" w:ascii="宋体" w:hAnsi="宋体" w:cs="宋体"/>
                <w:color w:val="auto"/>
                <w:spacing w:val="8"/>
                <w:kern w:val="0"/>
                <w:sz w:val="18"/>
                <w:szCs w:val="18"/>
                <w:highlight w:val="none"/>
                <w:vertAlign w:val="baseline"/>
                <w:lang w:val="en-US" w:eastAsia="zh-CN" w:bidi="ar-SA"/>
              </w:rPr>
              <w:t>3</w:t>
            </w:r>
            <w:r>
              <w:rPr>
                <w:rFonts w:hint="eastAsia" w:ascii="宋体" w:hAnsi="宋体" w:eastAsia="宋体" w:cs="宋体"/>
                <w:color w:val="auto"/>
                <w:spacing w:val="8"/>
                <w:kern w:val="0"/>
                <w:sz w:val="18"/>
                <w:szCs w:val="18"/>
                <w:highlight w:val="none"/>
                <w:vertAlign w:val="baseline"/>
                <w:lang w:val="en-US" w:eastAsia="zh-CN" w:bidi="ar-SA"/>
              </w:rPr>
              <w:t>各项</w:t>
            </w:r>
          </w:p>
          <w:p w14:paraId="75C9EA1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.1.2.1.1～2各项</w:t>
            </w:r>
          </w:p>
          <w:p w14:paraId="7B02694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.1.2.2.1～2各项</w:t>
            </w:r>
          </w:p>
          <w:p w14:paraId="1DBD59C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.1.2.3.1～2各项</w:t>
            </w:r>
          </w:p>
          <w:p w14:paraId="1E853A5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.1.2.4.1～2各项</w:t>
            </w:r>
          </w:p>
        </w:tc>
        <w:tc>
          <w:tcPr>
            <w:tcW w:w="2393" w:type="dxa"/>
            <w:vAlign w:val="center"/>
          </w:tcPr>
          <w:p w14:paraId="675E9BF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.1.1</w:t>
            </w:r>
          </w:p>
          <w:p w14:paraId="26D2EB9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.1.2</w:t>
            </w:r>
          </w:p>
        </w:tc>
        <w:tc>
          <w:tcPr>
            <w:tcW w:w="2393" w:type="dxa"/>
            <w:vAlign w:val="center"/>
          </w:tcPr>
          <w:p w14:paraId="3B96BBF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.1</w:t>
            </w:r>
          </w:p>
        </w:tc>
      </w:tr>
      <w:tr w14:paraId="7CB9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11689D8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低压电器</w:t>
            </w:r>
          </w:p>
        </w:tc>
        <w:tc>
          <w:tcPr>
            <w:tcW w:w="2393" w:type="dxa"/>
            <w:vAlign w:val="center"/>
          </w:tcPr>
          <w:p w14:paraId="6001F7A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.2.1.1.1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8</w:t>
            </w:r>
            <w:r>
              <w:rPr>
                <w:rFonts w:hint="eastAsia" w:ascii="宋体" w:hAnsi="宋体" w:eastAsia="宋体" w:cs="宋体"/>
                <w:color w:val="auto"/>
                <w:spacing w:val="8"/>
                <w:kern w:val="0"/>
                <w:sz w:val="18"/>
                <w:szCs w:val="18"/>
                <w:highlight w:val="none"/>
                <w:vertAlign w:val="baseline"/>
                <w:lang w:val="en-US" w:eastAsia="zh-CN" w:bidi="ar-SA"/>
              </w:rPr>
              <w:t>各项</w:t>
            </w:r>
          </w:p>
          <w:p w14:paraId="6115518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.2.1.2</w:t>
            </w:r>
          </w:p>
          <w:p w14:paraId="5A41341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.2.2.1.1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2</w:t>
            </w:r>
            <w:r>
              <w:rPr>
                <w:rFonts w:hint="eastAsia" w:ascii="宋体" w:hAnsi="宋体" w:eastAsia="宋体" w:cs="宋体"/>
                <w:color w:val="auto"/>
                <w:spacing w:val="8"/>
                <w:kern w:val="0"/>
                <w:sz w:val="18"/>
                <w:szCs w:val="18"/>
                <w:highlight w:val="none"/>
                <w:vertAlign w:val="baseline"/>
                <w:lang w:val="en-US" w:eastAsia="zh-CN" w:bidi="ar-SA"/>
              </w:rPr>
              <w:t>各项</w:t>
            </w:r>
          </w:p>
          <w:p w14:paraId="713D41A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pacing w:val="11"/>
                <w:sz w:val="18"/>
                <w:szCs w:val="18"/>
                <w:lang w:val="en-US" w:eastAsia="zh-CN"/>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.2.2.</w:t>
            </w:r>
            <w:r>
              <w:rPr>
                <w:rFonts w:hint="eastAsia" w:ascii="宋体" w:hAnsi="宋体" w:cs="宋体"/>
                <w:snapToGrid w:val="0"/>
                <w:color w:val="auto"/>
                <w:kern w:val="0"/>
                <w:sz w:val="18"/>
                <w:szCs w:val="18"/>
                <w:lang w:val="en-US" w:eastAsia="zh-CN" w:bidi="ar"/>
              </w:rPr>
              <w:t>2</w:t>
            </w:r>
            <w:r>
              <w:rPr>
                <w:rFonts w:hint="eastAsia" w:ascii="宋体" w:hAnsi="宋体" w:eastAsia="宋体" w:cs="宋体"/>
                <w:snapToGrid w:val="0"/>
                <w:color w:val="auto"/>
                <w:kern w:val="0"/>
                <w:sz w:val="18"/>
                <w:szCs w:val="18"/>
                <w:lang w:val="en-US" w:eastAsia="zh-CN" w:bidi="ar"/>
              </w:rPr>
              <w:t>.1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11"/>
                <w:sz w:val="18"/>
                <w:szCs w:val="18"/>
                <w:lang w:val="en-US" w:eastAsia="zh-CN"/>
              </w:rPr>
              <w:t>2</w:t>
            </w:r>
            <w:r>
              <w:rPr>
                <w:rFonts w:hint="eastAsia" w:ascii="宋体" w:hAnsi="宋体" w:eastAsia="宋体" w:cs="宋体"/>
                <w:color w:val="auto"/>
                <w:spacing w:val="8"/>
                <w:kern w:val="0"/>
                <w:sz w:val="18"/>
                <w:szCs w:val="18"/>
                <w:highlight w:val="none"/>
                <w:vertAlign w:val="baseline"/>
                <w:lang w:val="en-US" w:eastAsia="zh-CN" w:bidi="ar-SA"/>
              </w:rPr>
              <w:t>各项</w:t>
            </w:r>
          </w:p>
          <w:p w14:paraId="09769DF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.2.3.1.1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3</w:t>
            </w:r>
            <w:r>
              <w:rPr>
                <w:rFonts w:hint="eastAsia" w:ascii="宋体" w:hAnsi="宋体" w:eastAsia="宋体" w:cs="宋体"/>
                <w:color w:val="auto"/>
                <w:spacing w:val="8"/>
                <w:kern w:val="0"/>
                <w:sz w:val="18"/>
                <w:szCs w:val="18"/>
                <w:highlight w:val="none"/>
                <w:vertAlign w:val="baseline"/>
                <w:lang w:val="en-US" w:eastAsia="zh-CN" w:bidi="ar-SA"/>
              </w:rPr>
              <w:t>各项</w:t>
            </w:r>
          </w:p>
          <w:p w14:paraId="435D646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.2.3.2.1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14:paraId="2AF45ED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.2.1</w:t>
            </w:r>
          </w:p>
          <w:p w14:paraId="0068336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.2.2</w:t>
            </w:r>
          </w:p>
          <w:p w14:paraId="74949F9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.2.3</w:t>
            </w:r>
          </w:p>
        </w:tc>
        <w:tc>
          <w:tcPr>
            <w:tcW w:w="2393" w:type="dxa"/>
            <w:vAlign w:val="center"/>
          </w:tcPr>
          <w:p w14:paraId="12D2588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.2</w:t>
            </w:r>
          </w:p>
        </w:tc>
      </w:tr>
      <w:tr w14:paraId="1D3F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469ED92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低压配电线路</w:t>
            </w:r>
          </w:p>
        </w:tc>
        <w:tc>
          <w:tcPr>
            <w:tcW w:w="2393" w:type="dxa"/>
            <w:vAlign w:val="center"/>
          </w:tcPr>
          <w:p w14:paraId="0DE8E22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.3.1.1.1</w:t>
            </w:r>
            <w:r>
              <w:rPr>
                <w:rFonts w:hint="eastAsia" w:ascii="宋体" w:hAnsi="宋体" w:eastAsia="宋体" w:cs="宋体"/>
                <w:color w:val="auto"/>
                <w:spacing w:val="8"/>
                <w:kern w:val="0"/>
                <w:sz w:val="18"/>
                <w:szCs w:val="18"/>
                <w:highlight w:val="none"/>
                <w:vertAlign w:val="baseline"/>
                <w:lang w:val="en-US" w:eastAsia="zh-CN" w:bidi="ar-SA"/>
              </w:rPr>
              <w:t>～4各项</w:t>
            </w:r>
          </w:p>
          <w:p w14:paraId="0D5A4B2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w:t>
            </w: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.3.1.2.1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3</w:t>
            </w:r>
            <w:r>
              <w:rPr>
                <w:rFonts w:hint="eastAsia" w:ascii="宋体" w:hAnsi="宋体" w:eastAsia="宋体" w:cs="宋体"/>
                <w:color w:val="auto"/>
                <w:spacing w:val="8"/>
                <w:kern w:val="0"/>
                <w:sz w:val="18"/>
                <w:szCs w:val="18"/>
                <w:highlight w:val="none"/>
                <w:vertAlign w:val="baseline"/>
                <w:lang w:val="en-US" w:eastAsia="zh-CN" w:bidi="ar-SA"/>
              </w:rPr>
              <w:t>各项</w:t>
            </w:r>
          </w:p>
          <w:p w14:paraId="4F98BC0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.3.2.1.1</w:t>
            </w:r>
            <w:r>
              <w:rPr>
                <w:rFonts w:hint="eastAsia" w:ascii="宋体" w:hAnsi="宋体" w:eastAsia="宋体" w:cs="宋体"/>
                <w:color w:val="auto"/>
                <w:spacing w:val="8"/>
                <w:kern w:val="0"/>
                <w:sz w:val="18"/>
                <w:szCs w:val="18"/>
                <w:highlight w:val="none"/>
                <w:vertAlign w:val="baseline"/>
                <w:lang w:val="en-US" w:eastAsia="zh-CN" w:bidi="ar-SA"/>
              </w:rPr>
              <w:t>～1</w:t>
            </w:r>
            <w:r>
              <w:rPr>
                <w:rFonts w:hint="eastAsia" w:ascii="宋体" w:hAnsi="宋体" w:cs="宋体"/>
                <w:color w:val="auto"/>
                <w:spacing w:val="8"/>
                <w:kern w:val="0"/>
                <w:sz w:val="18"/>
                <w:szCs w:val="18"/>
                <w:highlight w:val="none"/>
                <w:vertAlign w:val="baseline"/>
                <w:lang w:val="en-US" w:eastAsia="zh-CN" w:bidi="ar-SA"/>
              </w:rPr>
              <w:t>5</w:t>
            </w:r>
            <w:r>
              <w:rPr>
                <w:rFonts w:hint="eastAsia" w:ascii="宋体" w:hAnsi="宋体" w:eastAsia="宋体" w:cs="宋体"/>
                <w:color w:val="auto"/>
                <w:spacing w:val="8"/>
                <w:kern w:val="0"/>
                <w:sz w:val="18"/>
                <w:szCs w:val="18"/>
                <w:highlight w:val="none"/>
                <w:vertAlign w:val="baseline"/>
                <w:lang w:val="en-US" w:eastAsia="zh-CN" w:bidi="ar-SA"/>
              </w:rPr>
              <w:t>各项</w:t>
            </w:r>
          </w:p>
          <w:p w14:paraId="1C01E3C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.3.3.1.1</w:t>
            </w:r>
            <w:r>
              <w:rPr>
                <w:rFonts w:hint="eastAsia" w:ascii="宋体" w:hAnsi="宋体" w:eastAsia="宋体" w:cs="宋体"/>
                <w:color w:val="auto"/>
                <w:spacing w:val="8"/>
                <w:kern w:val="0"/>
                <w:sz w:val="18"/>
                <w:szCs w:val="18"/>
                <w:highlight w:val="none"/>
                <w:vertAlign w:val="baseline"/>
                <w:lang w:val="en-US" w:eastAsia="zh-CN" w:bidi="ar-SA"/>
              </w:rPr>
              <w:t>～5各项</w:t>
            </w:r>
          </w:p>
          <w:p w14:paraId="493F6E7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.3.3.2.1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14:paraId="49EDA5A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.3.1</w:t>
            </w:r>
          </w:p>
          <w:p w14:paraId="7242338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.3.2</w:t>
            </w:r>
          </w:p>
          <w:p w14:paraId="63F448F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.3.3</w:t>
            </w:r>
          </w:p>
        </w:tc>
        <w:tc>
          <w:tcPr>
            <w:tcW w:w="2393" w:type="dxa"/>
            <w:vAlign w:val="center"/>
          </w:tcPr>
          <w:p w14:paraId="77E3E2C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.3</w:t>
            </w:r>
          </w:p>
        </w:tc>
      </w:tr>
      <w:tr w14:paraId="7E83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0F683E9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照明灯具和开关、插座</w:t>
            </w:r>
          </w:p>
        </w:tc>
        <w:tc>
          <w:tcPr>
            <w:tcW w:w="2393" w:type="dxa"/>
            <w:vAlign w:val="center"/>
          </w:tcPr>
          <w:p w14:paraId="1F09FB3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.4.1.1.1</w:t>
            </w:r>
            <w:r>
              <w:rPr>
                <w:rFonts w:hint="eastAsia" w:ascii="宋体" w:hAnsi="宋体" w:eastAsia="宋体" w:cs="宋体"/>
                <w:color w:val="auto"/>
                <w:spacing w:val="8"/>
                <w:kern w:val="0"/>
                <w:sz w:val="18"/>
                <w:szCs w:val="18"/>
                <w:highlight w:val="none"/>
                <w:vertAlign w:val="baseline"/>
                <w:lang w:val="en-US" w:eastAsia="zh-CN" w:bidi="ar-SA"/>
              </w:rPr>
              <w:t>～9各项</w:t>
            </w:r>
          </w:p>
          <w:p w14:paraId="7B8345A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.4.1.2.1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3</w:t>
            </w:r>
            <w:r>
              <w:rPr>
                <w:rFonts w:hint="eastAsia" w:ascii="宋体" w:hAnsi="宋体" w:eastAsia="宋体" w:cs="宋体"/>
                <w:color w:val="auto"/>
                <w:spacing w:val="8"/>
                <w:kern w:val="0"/>
                <w:sz w:val="18"/>
                <w:szCs w:val="18"/>
                <w:highlight w:val="none"/>
                <w:vertAlign w:val="baseline"/>
                <w:lang w:val="en-US" w:eastAsia="zh-CN" w:bidi="ar-SA"/>
              </w:rPr>
              <w:t>各项</w:t>
            </w:r>
          </w:p>
          <w:p w14:paraId="7B822D4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.4.2.1.1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7</w:t>
            </w:r>
            <w:r>
              <w:rPr>
                <w:rFonts w:hint="eastAsia" w:ascii="宋体" w:hAnsi="宋体" w:eastAsia="宋体" w:cs="宋体"/>
                <w:color w:val="auto"/>
                <w:spacing w:val="8"/>
                <w:kern w:val="0"/>
                <w:sz w:val="18"/>
                <w:szCs w:val="18"/>
                <w:highlight w:val="none"/>
                <w:vertAlign w:val="baseline"/>
                <w:lang w:val="en-US" w:eastAsia="zh-CN" w:bidi="ar-SA"/>
              </w:rPr>
              <w:t>各项</w:t>
            </w:r>
          </w:p>
          <w:p w14:paraId="648C213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.4.2.2.1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14:paraId="3533791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.4.1</w:t>
            </w:r>
          </w:p>
          <w:p w14:paraId="5920165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.4.2</w:t>
            </w:r>
          </w:p>
        </w:tc>
        <w:tc>
          <w:tcPr>
            <w:tcW w:w="2393" w:type="dxa"/>
            <w:vAlign w:val="center"/>
          </w:tcPr>
          <w:p w14:paraId="6CC81BF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.4</w:t>
            </w:r>
          </w:p>
        </w:tc>
      </w:tr>
      <w:tr w14:paraId="3475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74C6F96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常用电器装置</w:t>
            </w:r>
          </w:p>
        </w:tc>
        <w:tc>
          <w:tcPr>
            <w:tcW w:w="2393" w:type="dxa"/>
            <w:vAlign w:val="center"/>
          </w:tcPr>
          <w:p w14:paraId="65A374F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.5.1.1.1</w:t>
            </w:r>
            <w:r>
              <w:rPr>
                <w:rFonts w:hint="eastAsia" w:ascii="宋体" w:hAnsi="宋体" w:eastAsia="宋体" w:cs="宋体"/>
                <w:color w:val="auto"/>
                <w:spacing w:val="8"/>
                <w:kern w:val="0"/>
                <w:sz w:val="18"/>
                <w:szCs w:val="18"/>
                <w:highlight w:val="none"/>
                <w:vertAlign w:val="baseline"/>
                <w:lang w:val="en-US" w:eastAsia="zh-CN" w:bidi="ar-SA"/>
              </w:rPr>
              <w:t>～5各项</w:t>
            </w:r>
          </w:p>
          <w:p w14:paraId="30BB767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.5.1.2.1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4</w:t>
            </w:r>
            <w:r>
              <w:rPr>
                <w:rFonts w:hint="eastAsia" w:ascii="宋体" w:hAnsi="宋体" w:eastAsia="宋体" w:cs="宋体"/>
                <w:color w:val="auto"/>
                <w:spacing w:val="8"/>
                <w:kern w:val="0"/>
                <w:sz w:val="18"/>
                <w:szCs w:val="18"/>
                <w:highlight w:val="none"/>
                <w:vertAlign w:val="baseline"/>
                <w:lang w:val="en-US" w:eastAsia="zh-CN" w:bidi="ar-SA"/>
              </w:rPr>
              <w:t>各项</w:t>
            </w:r>
          </w:p>
          <w:p w14:paraId="29E9AED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.5.2.1.1</w:t>
            </w:r>
            <w:r>
              <w:rPr>
                <w:rFonts w:hint="eastAsia" w:ascii="宋体" w:hAnsi="宋体" w:eastAsia="宋体" w:cs="宋体"/>
                <w:color w:val="auto"/>
                <w:spacing w:val="8"/>
                <w:kern w:val="0"/>
                <w:sz w:val="18"/>
                <w:szCs w:val="18"/>
                <w:highlight w:val="none"/>
                <w:vertAlign w:val="baseline"/>
                <w:lang w:val="en-US" w:eastAsia="zh-CN" w:bidi="ar-SA"/>
              </w:rPr>
              <w:t>～3各项</w:t>
            </w:r>
          </w:p>
          <w:p w14:paraId="0AF8778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.5.2.2.1</w:t>
            </w:r>
            <w:r>
              <w:rPr>
                <w:rFonts w:hint="eastAsia" w:ascii="宋体" w:hAnsi="宋体" w:eastAsia="宋体" w:cs="宋体"/>
                <w:color w:val="auto"/>
                <w:spacing w:val="8"/>
                <w:kern w:val="0"/>
                <w:sz w:val="18"/>
                <w:szCs w:val="18"/>
                <w:highlight w:val="none"/>
                <w:vertAlign w:val="baseline"/>
                <w:lang w:val="en-US" w:eastAsia="zh-CN" w:bidi="ar-SA"/>
              </w:rPr>
              <w:t>～2各项</w:t>
            </w:r>
          </w:p>
          <w:p w14:paraId="03B9DFC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.5.3.1.1</w:t>
            </w:r>
            <w:r>
              <w:rPr>
                <w:rFonts w:hint="eastAsia" w:ascii="宋体" w:hAnsi="宋体" w:eastAsia="宋体" w:cs="宋体"/>
                <w:color w:val="auto"/>
                <w:spacing w:val="8"/>
                <w:kern w:val="0"/>
                <w:sz w:val="18"/>
                <w:szCs w:val="18"/>
                <w:highlight w:val="none"/>
                <w:vertAlign w:val="baseline"/>
                <w:lang w:val="en-US" w:eastAsia="zh-CN" w:bidi="ar-SA"/>
              </w:rPr>
              <w:t>～2各项</w:t>
            </w:r>
          </w:p>
          <w:p w14:paraId="5302372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.5.3.2.1</w:t>
            </w:r>
            <w:r>
              <w:rPr>
                <w:rFonts w:hint="eastAsia" w:ascii="宋体" w:hAnsi="宋体" w:eastAsia="宋体" w:cs="宋体"/>
                <w:color w:val="auto"/>
                <w:spacing w:val="8"/>
                <w:kern w:val="0"/>
                <w:sz w:val="18"/>
                <w:szCs w:val="18"/>
                <w:highlight w:val="none"/>
                <w:vertAlign w:val="baseline"/>
                <w:lang w:val="en-US" w:eastAsia="zh-CN" w:bidi="ar-SA"/>
              </w:rPr>
              <w:t>～3各项</w:t>
            </w:r>
          </w:p>
          <w:p w14:paraId="3C207F6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.5.4.1.1</w:t>
            </w:r>
            <w:r>
              <w:rPr>
                <w:rFonts w:hint="eastAsia" w:ascii="宋体" w:hAnsi="宋体" w:eastAsia="宋体" w:cs="宋体"/>
                <w:color w:val="auto"/>
                <w:spacing w:val="8"/>
                <w:kern w:val="0"/>
                <w:sz w:val="18"/>
                <w:szCs w:val="18"/>
                <w:highlight w:val="none"/>
                <w:vertAlign w:val="baseline"/>
                <w:lang w:val="en-US" w:eastAsia="zh-CN" w:bidi="ar-SA"/>
              </w:rPr>
              <w:t>～4各项</w:t>
            </w:r>
          </w:p>
          <w:p w14:paraId="0B8C9FF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.5.4.2</w:t>
            </w:r>
          </w:p>
        </w:tc>
        <w:tc>
          <w:tcPr>
            <w:tcW w:w="2393" w:type="dxa"/>
            <w:vAlign w:val="center"/>
          </w:tcPr>
          <w:p w14:paraId="19DED08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.5.1</w:t>
            </w:r>
          </w:p>
          <w:p w14:paraId="76A9D59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.5.2</w:t>
            </w:r>
          </w:p>
          <w:p w14:paraId="2387A87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.5.3</w:t>
            </w:r>
          </w:p>
          <w:p w14:paraId="3AA0FFB3">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.5.4</w:t>
            </w:r>
          </w:p>
        </w:tc>
        <w:tc>
          <w:tcPr>
            <w:tcW w:w="2393" w:type="dxa"/>
            <w:vAlign w:val="center"/>
          </w:tcPr>
          <w:p w14:paraId="228CF62F">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.5</w:t>
            </w:r>
          </w:p>
        </w:tc>
      </w:tr>
      <w:tr w14:paraId="59F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55F7BE0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其它用电装置</w:t>
            </w:r>
          </w:p>
        </w:tc>
        <w:tc>
          <w:tcPr>
            <w:tcW w:w="2393" w:type="dxa"/>
            <w:vAlign w:val="center"/>
          </w:tcPr>
          <w:p w14:paraId="250B434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w:t>
            </w: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.6.1.1.1</w:t>
            </w:r>
            <w:r>
              <w:rPr>
                <w:rFonts w:hint="eastAsia" w:ascii="宋体" w:hAnsi="宋体" w:eastAsia="宋体" w:cs="宋体"/>
                <w:color w:val="auto"/>
                <w:spacing w:val="8"/>
                <w:kern w:val="0"/>
                <w:sz w:val="18"/>
                <w:szCs w:val="18"/>
                <w:highlight w:val="none"/>
                <w:vertAlign w:val="baseline"/>
                <w:lang w:val="en-US" w:eastAsia="zh-CN" w:bidi="ar-SA"/>
              </w:rPr>
              <w:t>～4各项</w:t>
            </w:r>
          </w:p>
          <w:p w14:paraId="6B67175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snapToGrid w:val="0"/>
                <w:color w:val="auto"/>
                <w:spacing w:val="8"/>
                <w:kern w:val="0"/>
                <w:sz w:val="18"/>
                <w:szCs w:val="18"/>
                <w:lang w:val="en-US" w:eastAsia="zh-CN"/>
              </w:rPr>
            </w:pPr>
            <w:r>
              <w:rPr>
                <w:rFonts w:hint="eastAsia" w:ascii="宋体" w:hAnsi="宋体" w:cs="宋体"/>
                <w:snapToGrid w:val="0"/>
                <w:color w:val="auto"/>
                <w:spacing w:val="8"/>
                <w:kern w:val="0"/>
                <w:sz w:val="18"/>
                <w:szCs w:val="18"/>
                <w:lang w:val="en-US" w:eastAsia="zh-CN"/>
              </w:rPr>
              <w:t>6</w:t>
            </w:r>
            <w:r>
              <w:rPr>
                <w:rFonts w:hint="eastAsia" w:ascii="宋体" w:hAnsi="宋体" w:eastAsia="宋体" w:cs="宋体"/>
                <w:snapToGrid w:val="0"/>
                <w:color w:val="auto"/>
                <w:spacing w:val="8"/>
                <w:kern w:val="0"/>
                <w:sz w:val="18"/>
                <w:szCs w:val="18"/>
                <w:lang w:val="en-US" w:eastAsia="zh-CN"/>
              </w:rPr>
              <w:t>.6.1.2</w:t>
            </w:r>
          </w:p>
          <w:p w14:paraId="17D9601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.6.2.1.1</w:t>
            </w:r>
            <w:r>
              <w:rPr>
                <w:rFonts w:hint="eastAsia" w:ascii="宋体" w:hAnsi="宋体" w:eastAsia="宋体" w:cs="宋体"/>
                <w:color w:val="auto"/>
                <w:spacing w:val="8"/>
                <w:kern w:val="0"/>
                <w:sz w:val="18"/>
                <w:szCs w:val="18"/>
                <w:highlight w:val="none"/>
                <w:vertAlign w:val="baseline"/>
                <w:lang w:val="en-US" w:eastAsia="zh-CN" w:bidi="ar-SA"/>
              </w:rPr>
              <w:t>～6各项</w:t>
            </w:r>
          </w:p>
          <w:p w14:paraId="1BDD499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snapToGrid w:val="0"/>
                <w:color w:val="auto"/>
                <w:spacing w:val="8"/>
                <w:kern w:val="0"/>
                <w:sz w:val="18"/>
                <w:szCs w:val="18"/>
                <w:lang w:val="en-US" w:eastAsia="zh-CN"/>
              </w:rPr>
            </w:pPr>
            <w:r>
              <w:rPr>
                <w:rFonts w:hint="eastAsia" w:ascii="宋体" w:hAnsi="宋体" w:eastAsia="宋体" w:cs="宋体"/>
                <w:snapToGrid w:val="0"/>
                <w:color w:val="auto"/>
                <w:kern w:val="0"/>
                <w:sz w:val="18"/>
                <w:szCs w:val="18"/>
                <w:lang w:val="en-US" w:eastAsia="zh-CN" w:bidi="ar"/>
              </w:rPr>
              <w:t xml:space="preserve"> </w:t>
            </w: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.6.2.2.1</w:t>
            </w:r>
            <w:r>
              <w:rPr>
                <w:rFonts w:hint="eastAsia" w:ascii="宋体" w:hAnsi="宋体" w:eastAsia="宋体" w:cs="宋体"/>
                <w:color w:val="auto"/>
                <w:spacing w:val="8"/>
                <w:kern w:val="0"/>
                <w:sz w:val="18"/>
                <w:szCs w:val="18"/>
                <w:highlight w:val="none"/>
                <w:vertAlign w:val="baseline"/>
                <w:lang w:val="en-US" w:eastAsia="zh-CN" w:bidi="ar-SA"/>
              </w:rPr>
              <w:t>～</w:t>
            </w:r>
            <w:r>
              <w:rPr>
                <w:rFonts w:hint="eastAsia" w:ascii="宋体" w:hAnsi="宋体" w:cs="宋体"/>
                <w:color w:val="auto"/>
                <w:spacing w:val="8"/>
                <w:kern w:val="0"/>
                <w:sz w:val="18"/>
                <w:szCs w:val="18"/>
                <w:highlight w:val="none"/>
                <w:vertAlign w:val="baseline"/>
                <w:lang w:val="en-US" w:eastAsia="zh-CN" w:bidi="ar-SA"/>
              </w:rPr>
              <w:t>3</w:t>
            </w:r>
            <w:r>
              <w:rPr>
                <w:rFonts w:hint="eastAsia" w:ascii="宋体" w:hAnsi="宋体" w:eastAsia="宋体" w:cs="宋体"/>
                <w:color w:val="auto"/>
                <w:spacing w:val="8"/>
                <w:kern w:val="0"/>
                <w:sz w:val="18"/>
                <w:szCs w:val="18"/>
                <w:highlight w:val="none"/>
                <w:vertAlign w:val="baseline"/>
                <w:lang w:val="en-US" w:eastAsia="zh-CN" w:bidi="ar-SA"/>
              </w:rPr>
              <w:t>各项</w:t>
            </w:r>
          </w:p>
        </w:tc>
        <w:tc>
          <w:tcPr>
            <w:tcW w:w="2393" w:type="dxa"/>
            <w:vAlign w:val="center"/>
          </w:tcPr>
          <w:p w14:paraId="079BA63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.6.1</w:t>
            </w:r>
          </w:p>
          <w:p w14:paraId="22745C79">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.6.2</w:t>
            </w:r>
          </w:p>
        </w:tc>
        <w:tc>
          <w:tcPr>
            <w:tcW w:w="2393" w:type="dxa"/>
            <w:vAlign w:val="center"/>
          </w:tcPr>
          <w:p w14:paraId="0B94E18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.6</w:t>
            </w:r>
          </w:p>
        </w:tc>
      </w:tr>
      <w:tr w14:paraId="335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14:paraId="0178EED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接地和等电位联结</w:t>
            </w:r>
          </w:p>
        </w:tc>
        <w:tc>
          <w:tcPr>
            <w:tcW w:w="2393" w:type="dxa"/>
            <w:vAlign w:val="center"/>
          </w:tcPr>
          <w:p w14:paraId="7B37ECC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.7.1.1.1</w:t>
            </w:r>
            <w:r>
              <w:rPr>
                <w:rFonts w:hint="eastAsia" w:ascii="宋体" w:hAnsi="宋体" w:eastAsia="宋体" w:cs="宋体"/>
                <w:color w:val="auto"/>
                <w:spacing w:val="8"/>
                <w:kern w:val="0"/>
                <w:sz w:val="18"/>
                <w:szCs w:val="18"/>
                <w:highlight w:val="none"/>
                <w:vertAlign w:val="baseline"/>
                <w:lang w:val="en-US" w:eastAsia="zh-CN" w:bidi="ar-SA"/>
              </w:rPr>
              <w:t>～1</w:t>
            </w:r>
            <w:r>
              <w:rPr>
                <w:rFonts w:hint="eastAsia" w:ascii="宋体" w:hAnsi="宋体" w:cs="宋体"/>
                <w:color w:val="auto"/>
                <w:spacing w:val="8"/>
                <w:kern w:val="0"/>
                <w:sz w:val="18"/>
                <w:szCs w:val="18"/>
                <w:highlight w:val="none"/>
                <w:vertAlign w:val="baseline"/>
                <w:lang w:val="en-US" w:eastAsia="zh-CN" w:bidi="ar-SA"/>
              </w:rPr>
              <w:t>0</w:t>
            </w:r>
            <w:r>
              <w:rPr>
                <w:rFonts w:hint="eastAsia" w:ascii="宋体" w:hAnsi="宋体" w:eastAsia="宋体" w:cs="宋体"/>
                <w:color w:val="auto"/>
                <w:spacing w:val="8"/>
                <w:kern w:val="0"/>
                <w:sz w:val="18"/>
                <w:szCs w:val="18"/>
                <w:highlight w:val="none"/>
                <w:vertAlign w:val="baseline"/>
                <w:lang w:val="en-US" w:eastAsia="zh-CN" w:bidi="ar-SA"/>
              </w:rPr>
              <w:t>各项</w:t>
            </w:r>
          </w:p>
          <w:p w14:paraId="4EE58E2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.7.1.2.1</w:t>
            </w:r>
            <w:r>
              <w:rPr>
                <w:rFonts w:hint="eastAsia" w:ascii="宋体" w:hAnsi="宋体" w:eastAsia="宋体" w:cs="宋体"/>
                <w:color w:val="auto"/>
                <w:spacing w:val="8"/>
                <w:kern w:val="0"/>
                <w:sz w:val="18"/>
                <w:szCs w:val="18"/>
                <w:highlight w:val="none"/>
                <w:vertAlign w:val="baseline"/>
                <w:lang w:val="en-US" w:eastAsia="zh-CN" w:bidi="ar-SA"/>
              </w:rPr>
              <w:t>～5各项</w:t>
            </w:r>
          </w:p>
          <w:p w14:paraId="31323AC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snapToGrid w:val="0"/>
                <w:color w:val="auto"/>
                <w:kern w:val="0"/>
                <w:sz w:val="18"/>
                <w:szCs w:val="18"/>
                <w:lang w:val="en-US" w:eastAsia="zh-CN" w:bidi="ar"/>
              </w:rPr>
              <w:t>6</w:t>
            </w:r>
            <w:r>
              <w:rPr>
                <w:rFonts w:hint="eastAsia" w:ascii="宋体" w:hAnsi="宋体" w:eastAsia="宋体" w:cs="宋体"/>
                <w:snapToGrid w:val="0"/>
                <w:color w:val="auto"/>
                <w:kern w:val="0"/>
                <w:sz w:val="18"/>
                <w:szCs w:val="18"/>
                <w:lang w:val="en-US" w:eastAsia="zh-CN" w:bidi="ar"/>
              </w:rPr>
              <w:t>.7.2.1.1</w:t>
            </w:r>
            <w:r>
              <w:rPr>
                <w:rFonts w:hint="eastAsia" w:ascii="宋体" w:hAnsi="宋体" w:eastAsia="宋体" w:cs="宋体"/>
                <w:color w:val="auto"/>
                <w:spacing w:val="8"/>
                <w:kern w:val="0"/>
                <w:sz w:val="18"/>
                <w:szCs w:val="18"/>
                <w:highlight w:val="none"/>
                <w:vertAlign w:val="baseline"/>
                <w:lang w:val="en-US" w:eastAsia="zh-CN" w:bidi="ar-SA"/>
              </w:rPr>
              <w:t>～3各项</w:t>
            </w:r>
          </w:p>
        </w:tc>
        <w:tc>
          <w:tcPr>
            <w:tcW w:w="2393" w:type="dxa"/>
            <w:vAlign w:val="center"/>
          </w:tcPr>
          <w:p w14:paraId="4AD981A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.7.1</w:t>
            </w:r>
          </w:p>
          <w:p w14:paraId="11C0F61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.7.2</w:t>
            </w:r>
          </w:p>
        </w:tc>
        <w:tc>
          <w:tcPr>
            <w:tcW w:w="2393" w:type="dxa"/>
            <w:vAlign w:val="center"/>
          </w:tcPr>
          <w:p w14:paraId="5B7F618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cs="宋体"/>
                <w:color w:val="auto"/>
                <w:spacing w:val="8"/>
                <w:kern w:val="0"/>
                <w:sz w:val="18"/>
                <w:szCs w:val="18"/>
                <w:highlight w:val="none"/>
                <w:vertAlign w:val="baseline"/>
                <w:lang w:val="en-US" w:eastAsia="zh-CN" w:bidi="ar-SA"/>
              </w:rPr>
              <w:t>6</w:t>
            </w:r>
            <w:r>
              <w:rPr>
                <w:rFonts w:hint="eastAsia" w:ascii="宋体" w:hAnsi="宋体" w:eastAsia="宋体" w:cs="宋体"/>
                <w:color w:val="auto"/>
                <w:spacing w:val="8"/>
                <w:kern w:val="0"/>
                <w:sz w:val="18"/>
                <w:szCs w:val="18"/>
                <w:highlight w:val="none"/>
                <w:vertAlign w:val="baseline"/>
                <w:lang w:val="en-US" w:eastAsia="zh-CN" w:bidi="ar-SA"/>
              </w:rPr>
              <w:t>.7</w:t>
            </w:r>
          </w:p>
        </w:tc>
      </w:tr>
    </w:tbl>
    <w:p w14:paraId="4841444B">
      <w:pPr>
        <w:pStyle w:val="258"/>
        <w:keepNext w:val="0"/>
        <w:keepLines w:val="0"/>
        <w:pageBreakBefore w:val="0"/>
        <w:widowControl/>
        <w:wordWrap/>
        <w:overflowPunct/>
        <w:topLinePunct w:val="0"/>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黑体" w:hAnsi="黑体" w:eastAsia="黑体" w:cs="黑体"/>
          <w:color w:val="auto"/>
          <w:spacing w:val="8"/>
          <w:sz w:val="21"/>
          <w:szCs w:val="21"/>
          <w:highlight w:val="none"/>
          <w:lang w:val="en-US" w:eastAsia="zh-CN"/>
        </w:rPr>
        <w:t xml:space="preserve">7.2.2.2  </w:t>
      </w:r>
      <w:r>
        <w:rPr>
          <w:rFonts w:hint="eastAsia" w:ascii="宋体" w:hAnsi="宋体" w:eastAsia="宋体" w:cs="宋体"/>
          <w:color w:val="auto"/>
          <w:spacing w:val="8"/>
          <w:sz w:val="21"/>
          <w:szCs w:val="21"/>
          <w:highlight w:val="none"/>
          <w:lang w:val="en-US" w:eastAsia="zh-CN"/>
        </w:rPr>
        <w:t>建筑电气被测部分火灾危险评定采用现场直观检查和仪器测试两种检测方式进行综合评价，分为良、中、差三种评价结论。</w:t>
      </w:r>
    </w:p>
    <w:p w14:paraId="67AE7F0E">
      <w:pPr>
        <w:pStyle w:val="258"/>
        <w:keepNext w:val="0"/>
        <w:keepLines w:val="0"/>
        <w:pageBreakBefore w:val="0"/>
        <w:widowControl/>
        <w:wordWrap/>
        <w:overflowPunct/>
        <w:topLinePunct w:val="0"/>
        <w:bidi w:val="0"/>
        <w:spacing w:line="240" w:lineRule="auto"/>
        <w:ind w:left="0" w:leftChars="0" w:firstLine="0" w:firstLineChars="0"/>
        <w:rPr>
          <w:rFonts w:hint="eastAsia" w:ascii="宋体" w:hAnsi="宋体" w:eastAsia="宋体" w:cs="宋体"/>
          <w:color w:val="auto"/>
          <w:spacing w:val="8"/>
          <w:sz w:val="21"/>
          <w:szCs w:val="21"/>
          <w:highlight w:val="none"/>
          <w:lang w:val="en-US" w:eastAsia="zh-CN"/>
        </w:rPr>
      </w:pPr>
      <w:r>
        <w:rPr>
          <w:rFonts w:hint="eastAsia" w:ascii="黑体" w:hAnsi="黑体" w:eastAsia="黑体" w:cs="黑体"/>
          <w:color w:val="auto"/>
          <w:spacing w:val="8"/>
          <w:sz w:val="21"/>
          <w:szCs w:val="21"/>
          <w:highlight w:val="none"/>
          <w:lang w:val="en-US" w:eastAsia="zh-CN"/>
        </w:rPr>
        <w:t xml:space="preserve">7.2.2.3  </w:t>
      </w:r>
      <w:r>
        <w:rPr>
          <w:rFonts w:hint="eastAsia" w:ascii="宋体" w:hAnsi="宋体" w:eastAsia="宋体" w:cs="宋体"/>
          <w:color w:val="auto"/>
          <w:spacing w:val="8"/>
          <w:sz w:val="21"/>
          <w:szCs w:val="21"/>
          <w:highlight w:val="none"/>
          <w:lang w:val="en-US" w:eastAsia="zh-CN"/>
        </w:rPr>
        <w:t>根据本标准规定，通过现场直观检查和仪器测试，确定被测部分的危险等级，按A、B、C类缺陷分类统计，根据下列规则评定结果：</w:t>
      </w:r>
    </w:p>
    <w:p w14:paraId="77DC6162">
      <w:pPr>
        <w:keepNext w:val="0"/>
        <w:keepLines w:val="0"/>
        <w:pageBreakBefore w:val="0"/>
        <w:widowControl/>
        <w:suppressLineNumbers w:val="0"/>
        <w:wordWrap/>
        <w:overflowPunct/>
        <w:topLinePunct w:val="0"/>
        <w:bidi w:val="0"/>
        <w:spacing w:line="240" w:lineRule="auto"/>
        <w:ind w:firstLine="45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评价：</w:t>
      </w:r>
      <w:r>
        <w:rPr>
          <w:rFonts w:hint="eastAsia" w:ascii="宋体" w:hAnsi="宋体" w:eastAsia="宋体" w:cs="宋体"/>
          <w:snapToGrid w:val="0"/>
          <w:color w:val="auto"/>
          <w:kern w:val="0"/>
          <w:sz w:val="21"/>
          <w:szCs w:val="21"/>
          <w:highlight w:val="none"/>
          <w:lang w:val="en-US" w:eastAsia="zh-CN" w:bidi="ar"/>
        </w:rPr>
        <w:t>A≥1</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评定结果：差 </w:t>
      </w:r>
    </w:p>
    <w:p w14:paraId="41A4C6D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不属于上述范围，则将检测结果通过被测部分火灾危险等级系数，</w:t>
      </w:r>
      <w:r>
        <w:rPr>
          <w:rFonts w:hint="eastAsia" w:ascii="宋体" w:hAnsi="宋体" w:eastAsia="宋体" w:cs="宋体"/>
          <w:color w:val="auto"/>
          <w:spacing w:val="8"/>
          <w:sz w:val="21"/>
          <w:szCs w:val="21"/>
          <w:highlight w:val="none"/>
          <w:lang w:val="en-US" w:eastAsia="zh-CN"/>
        </w:rPr>
        <w:t>确定被测部分的危险等级，现给出被测部位火灾危险等级系数计算公式如下</w:t>
      </w:r>
      <w:r>
        <w:rPr>
          <w:rFonts w:hint="eastAsia" w:ascii="宋体" w:hAnsi="宋体" w:eastAsia="宋体" w:cs="宋体"/>
          <w:snapToGrid w:val="0"/>
          <w:color w:val="auto"/>
          <w:kern w:val="0"/>
          <w:sz w:val="21"/>
          <w:szCs w:val="21"/>
          <w:highlight w:val="none"/>
          <w:lang w:val="en-US" w:eastAsia="zh-CN" w:bidi="ar"/>
        </w:rPr>
        <w:t>：</w:t>
      </w:r>
    </w:p>
    <w:p w14:paraId="6431A6F5">
      <w:pPr>
        <w:pStyle w:val="350"/>
        <w:bidi w:val="0"/>
        <w:textAlignment w:val="bottom"/>
        <w:rPr>
          <w:rFonts w:hint="eastAsia" w:ascii="宋体" w:hAnsi="宋体" w:eastAsia="宋体" w:cs="宋体"/>
          <w:snapToGrid w:val="0"/>
          <w:color w:val="auto"/>
          <w:kern w:val="0"/>
          <w:sz w:val="21"/>
          <w:szCs w:val="21"/>
          <w:highlight w:val="none"/>
          <w:lang w:val="en-US" w:eastAsia="zh-CN" w:bidi="ar"/>
        </w:rPr>
      </w:pPr>
      <w:r>
        <w:rPr>
          <w:rFonts w:hint="eastAsia" w:hAnsi="宋体" w:cs="宋体"/>
          <w:snapToGrid w:val="0"/>
          <w:color w:val="auto"/>
          <w:kern w:val="0"/>
          <w:sz w:val="21"/>
          <w:szCs w:val="21"/>
          <w:highlight w:val="none"/>
          <w:lang w:val="en-US" w:eastAsia="zh-CN" w:bidi="ar"/>
        </w:rPr>
        <w:tab/>
      </w:r>
      <w:r>
        <w:rPr>
          <w:rFonts w:hint="eastAsia" w:ascii="宋体" w:hAnsi="宋体" w:eastAsia="宋体" w:cs="宋体"/>
          <w:i w:val="0"/>
          <w:iCs w:val="0"/>
          <w:snapToGrid w:val="0"/>
          <w:color w:val="auto"/>
          <w:kern w:val="0"/>
          <w:position w:val="-24"/>
          <w:sz w:val="21"/>
          <w:szCs w:val="21"/>
          <w:highlight w:val="none"/>
          <w:lang w:val="en-US" w:eastAsia="zh-CN" w:bidi="ar"/>
        </w:rPr>
        <w:object>
          <v:shape id="_x0000_i1033" o:spt="75" type="#_x0000_t75" style="height:31pt;width:63pt;" o:ole="t" filled="f" o:preferrelative="t" stroked="f" coordsize="21600,21600">
            <v:path/>
            <v:fill on="f" focussize="0,0"/>
            <v:stroke on="f"/>
            <v:imagedata r:id="rId35" o:title=""/>
            <o:lock v:ext="edit" aspectratio="t"/>
            <w10:wrap type="none"/>
            <w10:anchorlock/>
          </v:shape>
          <o:OLEObject Type="Embed" ProgID="Equation.KSEE3" ShapeID="_x0000_i1033" DrawAspect="Content" ObjectID="_1468075733" r:id="rId34">
            <o:LockedField>false</o:LockedField>
          </o:OLEObject>
        </w:object>
      </w:r>
      <w:r>
        <w:rPr>
          <w:rFonts w:hint="eastAsia" w:hAnsi="宋体" w:cs="宋体"/>
          <w:snapToGrid w:val="0"/>
          <w:color w:val="auto"/>
          <w:kern w:val="0"/>
          <w:sz w:val="21"/>
          <w:szCs w:val="21"/>
          <w:highlight w:val="none"/>
          <w:lang w:val="en-US" w:eastAsia="zh-CN" w:bidi="ar"/>
        </w:rPr>
        <w:tab/>
      </w:r>
      <w:r>
        <w:rPr>
          <w:rFonts w:hint="eastAsia" w:hAnsi="宋体" w:cs="宋体"/>
          <w:snapToGrid w:val="0"/>
          <w:color w:val="auto"/>
          <w:kern w:val="0"/>
          <w:sz w:val="21"/>
          <w:szCs w:val="21"/>
          <w:highlight w:val="none"/>
          <w:lang w:val="en-US" w:eastAsia="zh-CN" w:bidi="ar"/>
        </w:rPr>
        <w:t>(</w:t>
      </w:r>
      <w:r>
        <w:rPr>
          <w:rFonts w:hint="eastAsia" w:hAnsi="宋体" w:cs="宋体"/>
          <w:snapToGrid w:val="0"/>
          <w:color w:val="auto"/>
          <w:kern w:val="0"/>
          <w:sz w:val="21"/>
          <w:szCs w:val="21"/>
          <w:highlight w:val="none"/>
          <w:lang w:val="en-US" w:eastAsia="zh-CN" w:bidi="ar"/>
        </w:rPr>
        <w:fldChar w:fldCharType="begin"/>
      </w:r>
      <w:r>
        <w:rPr>
          <w:rFonts w:hint="eastAsia" w:hAnsi="宋体" w:cs="宋体"/>
          <w:snapToGrid w:val="0"/>
          <w:color w:val="auto"/>
          <w:kern w:val="0"/>
          <w:sz w:val="21"/>
          <w:szCs w:val="21"/>
          <w:highlight w:val="none"/>
          <w:lang w:val="en-US" w:eastAsia="zh-CN" w:bidi="ar"/>
        </w:rPr>
        <w:instrText xml:space="preserve"> SEQ 自动公式编号 \* ARABIC </w:instrText>
      </w:r>
      <w:r>
        <w:rPr>
          <w:rFonts w:hint="eastAsia" w:hAnsi="宋体" w:cs="宋体"/>
          <w:snapToGrid w:val="0"/>
          <w:color w:val="auto"/>
          <w:kern w:val="0"/>
          <w:sz w:val="21"/>
          <w:szCs w:val="21"/>
          <w:highlight w:val="none"/>
          <w:lang w:val="en-US" w:eastAsia="zh-CN" w:bidi="ar"/>
        </w:rPr>
        <w:fldChar w:fldCharType="separate"/>
      </w:r>
      <w:r>
        <w:rPr>
          <w:rFonts w:hint="eastAsia" w:hAnsi="宋体" w:cs="宋体"/>
          <w:snapToGrid w:val="0"/>
          <w:color w:val="auto"/>
          <w:kern w:val="0"/>
          <w:sz w:val="21"/>
          <w:szCs w:val="21"/>
          <w:highlight w:val="none"/>
          <w:lang w:val="en-US" w:eastAsia="zh-CN" w:bidi="ar"/>
        </w:rPr>
        <w:t>2</w:t>
      </w:r>
      <w:r>
        <w:rPr>
          <w:rFonts w:hint="eastAsia" w:hAnsi="宋体" w:cs="宋体"/>
          <w:snapToGrid w:val="0"/>
          <w:color w:val="auto"/>
          <w:kern w:val="0"/>
          <w:sz w:val="21"/>
          <w:szCs w:val="21"/>
          <w:highlight w:val="none"/>
          <w:lang w:val="en-US" w:eastAsia="zh-CN" w:bidi="ar"/>
        </w:rPr>
        <w:fldChar w:fldCharType="end"/>
      </w:r>
      <w:r>
        <w:rPr>
          <w:rFonts w:hint="eastAsia" w:hAnsi="宋体" w:cs="宋体"/>
          <w:snapToGrid w:val="0"/>
          <w:color w:val="auto"/>
          <w:kern w:val="0"/>
          <w:sz w:val="21"/>
          <w:szCs w:val="21"/>
          <w:highlight w:val="none"/>
          <w:lang w:val="en-US" w:eastAsia="zh-CN" w:bidi="ar"/>
        </w:rPr>
        <w:t>)</w:t>
      </w:r>
    </w:p>
    <w:p w14:paraId="28AEB170">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式中:</w:t>
      </w:r>
    </w:p>
    <w:p w14:paraId="416F41DE">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X</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火灾危险等级系数</w:t>
      </w:r>
      <w:r>
        <w:rPr>
          <w:rFonts w:hint="eastAsia" w:ascii="宋体" w:hAnsi="宋体" w:cs="宋体"/>
          <w:snapToGrid w:val="0"/>
          <w:color w:val="auto"/>
          <w:kern w:val="0"/>
          <w:sz w:val="21"/>
          <w:szCs w:val="21"/>
          <w:highlight w:val="none"/>
          <w:lang w:val="en-US" w:eastAsia="zh-CN" w:bidi="ar"/>
        </w:rPr>
        <w:t>；</w:t>
      </w:r>
    </w:p>
    <w:p w14:paraId="27B60995">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Z</w:t>
      </w:r>
      <w:r>
        <w:rPr>
          <w:rFonts w:hint="eastAsia" w:ascii="宋体" w:hAnsi="宋体" w:eastAsia="宋体" w:cs="宋体"/>
          <w:snapToGrid w:val="0"/>
          <w:color w:val="auto"/>
          <w:kern w:val="0"/>
          <w:sz w:val="21"/>
          <w:szCs w:val="21"/>
          <w:highlight w:val="none"/>
          <w:vertAlign w:val="baseline"/>
          <w:lang w:val="en-US" w:eastAsia="zh-CN" w:bidi="ar"/>
        </w:rPr>
        <w:t>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被测部分实际检测点数</w:t>
      </w:r>
      <w:r>
        <w:rPr>
          <w:rFonts w:hint="eastAsia" w:ascii="宋体" w:hAnsi="宋体" w:cs="宋体"/>
          <w:snapToGrid w:val="0"/>
          <w:color w:val="auto"/>
          <w:kern w:val="0"/>
          <w:sz w:val="21"/>
          <w:szCs w:val="21"/>
          <w:highlight w:val="none"/>
          <w:lang w:val="en-US" w:eastAsia="zh-CN" w:bidi="ar"/>
        </w:rPr>
        <w:t>；</w:t>
      </w:r>
    </w:p>
    <w:p w14:paraId="4F7AAA71">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C</w:t>
      </w:r>
      <w:r>
        <w:rPr>
          <w:rFonts w:hint="eastAsia" w:ascii="宋体" w:hAnsi="宋体" w:eastAsia="宋体" w:cs="宋体"/>
          <w:snapToGrid w:val="0"/>
          <w:color w:val="auto"/>
          <w:kern w:val="0"/>
          <w:sz w:val="21"/>
          <w:szCs w:val="21"/>
          <w:highlight w:val="none"/>
          <w:vertAlign w:val="baseline"/>
          <w:lang w:val="en-US" w:eastAsia="zh-CN" w:bidi="ar"/>
        </w:rPr>
        <w:t>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被测部分C级隐患点数</w:t>
      </w:r>
      <w:r>
        <w:rPr>
          <w:rFonts w:hint="eastAsia" w:ascii="宋体" w:hAnsi="宋体" w:cs="宋体"/>
          <w:snapToGrid w:val="0"/>
          <w:color w:val="auto"/>
          <w:kern w:val="0"/>
          <w:sz w:val="21"/>
          <w:szCs w:val="21"/>
          <w:highlight w:val="none"/>
          <w:lang w:val="en-US" w:eastAsia="zh-CN" w:bidi="ar"/>
        </w:rPr>
        <w:t>；</w:t>
      </w:r>
    </w:p>
    <w:p w14:paraId="38A89BBA">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Bs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被测部分B级隐患点数</w:t>
      </w:r>
      <w:r>
        <w:rPr>
          <w:rFonts w:hint="eastAsia" w:ascii="宋体" w:hAnsi="宋体" w:cs="宋体"/>
          <w:snapToGrid w:val="0"/>
          <w:color w:val="auto"/>
          <w:kern w:val="0"/>
          <w:sz w:val="21"/>
          <w:szCs w:val="21"/>
          <w:highlight w:val="none"/>
          <w:lang w:val="en-US" w:eastAsia="zh-CN" w:bidi="ar"/>
        </w:rPr>
        <w:t>。</w:t>
      </w:r>
    </w:p>
    <w:p w14:paraId="165187FE">
      <w:pPr>
        <w:keepNext w:val="0"/>
        <w:keepLines w:val="0"/>
        <w:pageBreakBefore w:val="0"/>
        <w:widowControl/>
        <w:suppressLineNumbers w:val="0"/>
        <w:wordWrap/>
        <w:overflowPunct/>
        <w:topLinePunct w:val="0"/>
        <w:bidi w:val="0"/>
        <w:spacing w:line="240" w:lineRule="auto"/>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得出火灾危险等级系数，根据下列规则评定结果:</w:t>
      </w:r>
    </w:p>
    <w:p w14:paraId="6E20A006">
      <w:pPr>
        <w:keepNext w:val="0"/>
        <w:keepLines w:val="0"/>
        <w:pageBreakBefore w:val="0"/>
        <w:widowControl/>
        <w:suppressLineNumbers w:val="0"/>
        <w:kinsoku/>
        <w:wordWrap/>
        <w:overflowPunct/>
        <w:topLinePunct w:val="0"/>
        <w:autoSpaceDE/>
        <w:autoSpaceDN/>
        <w:bidi w:val="0"/>
        <w:adjustRightInd/>
        <w:snapToGrid/>
        <w:spacing w:line="240" w:lineRule="auto"/>
        <w:ind w:firstLine="840" w:firstLineChars="400"/>
        <w:jc w:val="both"/>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X≤0.2</w:t>
      </w:r>
      <w:r>
        <w:rPr>
          <w:rFonts w:hint="eastAsia" w:ascii="宋体" w:hAnsi="宋体" w:cs="宋体"/>
          <w:i w:val="0"/>
          <w:iCs w:val="0"/>
          <w:snapToGrid w:val="0"/>
          <w:color w:val="auto"/>
          <w:kern w:val="0"/>
          <w:sz w:val="21"/>
          <w:szCs w:val="21"/>
          <w:highlight w:val="none"/>
          <w:u w:val="none"/>
          <w:lang w:val="en-US" w:eastAsia="zh-CN" w:bidi="ar"/>
        </w:rPr>
        <w:t xml:space="preserve">     </w:t>
      </w:r>
      <w:r>
        <w:rPr>
          <w:rFonts w:hint="eastAsia" w:ascii="宋体" w:hAnsi="宋体" w:eastAsia="宋体" w:cs="宋体"/>
          <w:i w:val="0"/>
          <w:iCs w:val="0"/>
          <w:snapToGrid w:val="0"/>
          <w:color w:val="auto"/>
          <w:kern w:val="0"/>
          <w:sz w:val="21"/>
          <w:szCs w:val="21"/>
          <w:highlight w:val="none"/>
          <w:u w:val="none"/>
          <w:lang w:val="en-US" w:eastAsia="zh-CN" w:bidi="ar"/>
        </w:rPr>
        <w:t>评定结果为：良（存在轻微电气火灾隐患）</w:t>
      </w:r>
    </w:p>
    <w:p w14:paraId="3BC0AF80">
      <w:pPr>
        <w:keepNext w:val="0"/>
        <w:keepLines w:val="0"/>
        <w:pageBreakBefore w:val="0"/>
        <w:widowControl/>
        <w:suppressLineNumbers w:val="0"/>
        <w:wordWrap/>
        <w:overflowPunct/>
        <w:topLinePunct w:val="0"/>
        <w:bidi w:val="0"/>
        <w:spacing w:line="240" w:lineRule="auto"/>
        <w:ind w:left="0" w:leftChars="0" w:firstLine="420" w:firstLineChars="20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0.2＜X≤0.3</w:t>
      </w:r>
      <w:r>
        <w:rPr>
          <w:rFonts w:hint="eastAsia" w:ascii="宋体" w:hAnsi="宋体" w:eastAsia="宋体" w:cs="宋体"/>
          <w:snapToGrid w:val="0"/>
          <w:color w:val="auto"/>
          <w:kern w:val="0"/>
          <w:sz w:val="21"/>
          <w:szCs w:val="21"/>
          <w:highlight w:val="none"/>
          <w:lang w:val="en-US" w:eastAsia="zh-CN" w:bidi="ar"/>
        </w:rPr>
        <w:t xml:space="preserve">    评定结果为：中</w:t>
      </w:r>
      <w:r>
        <w:rPr>
          <w:rFonts w:hint="eastAsia" w:ascii="宋体" w:hAnsi="宋体" w:eastAsia="宋体" w:cs="宋体"/>
          <w:i w:val="0"/>
          <w:iCs w:val="0"/>
          <w:snapToGrid w:val="0"/>
          <w:color w:val="auto"/>
          <w:kern w:val="0"/>
          <w:sz w:val="21"/>
          <w:szCs w:val="21"/>
          <w:highlight w:val="none"/>
          <w:u w:val="none"/>
          <w:lang w:val="en-US" w:eastAsia="zh-CN" w:bidi="ar"/>
        </w:rPr>
        <w:t>（存在一般电气火灾隐患）</w:t>
      </w:r>
    </w:p>
    <w:p w14:paraId="277D1E72">
      <w:pPr>
        <w:pStyle w:val="258"/>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X＞0.3   </w:t>
      </w:r>
      <w:r>
        <w:rPr>
          <w:rFonts w:hint="eastAsia" w:ascii="宋体" w:hAnsi="宋体" w:cs="宋体"/>
          <w:snapToGrid w:val="0"/>
          <w:color w:val="auto"/>
          <w:kern w:val="0"/>
          <w:sz w:val="21"/>
          <w:szCs w:val="21"/>
          <w:highlight w:val="none"/>
          <w:lang w:val="en-US" w:eastAsia="zh-CN" w:bidi="ar"/>
        </w:rPr>
        <w:t xml:space="preserve"> </w:t>
      </w:r>
      <w:r>
        <w:rPr>
          <w:rFonts w:hint="eastAsia"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评定结果为：差</w:t>
      </w:r>
      <w:r>
        <w:rPr>
          <w:rFonts w:hint="eastAsia" w:ascii="宋体" w:hAnsi="宋体" w:eastAsia="宋体" w:cs="宋体"/>
          <w:i w:val="0"/>
          <w:iCs w:val="0"/>
          <w:snapToGrid w:val="0"/>
          <w:color w:val="auto"/>
          <w:kern w:val="0"/>
          <w:sz w:val="21"/>
          <w:szCs w:val="21"/>
          <w:highlight w:val="none"/>
          <w:u w:val="none"/>
          <w:lang w:val="en-US" w:eastAsia="zh-CN" w:bidi="ar"/>
        </w:rPr>
        <w:t>（存在严重电气火灾隐患）</w:t>
      </w:r>
    </w:p>
    <w:p w14:paraId="0413F940">
      <w:pPr>
        <w:pStyle w:val="259"/>
        <w:bidi w:val="0"/>
        <w:rPr>
          <w:rFonts w:hint="eastAsia"/>
          <w:color w:val="auto"/>
          <w:lang w:val="en-US" w:eastAsia="zh-CN"/>
        </w:rPr>
      </w:pPr>
      <w:bookmarkStart w:id="505" w:name="_Toc19392"/>
      <w:bookmarkStart w:id="506" w:name="_Toc6444"/>
      <w:bookmarkStart w:id="507" w:name="_Toc10756"/>
      <w:bookmarkStart w:id="508" w:name="_Toc10743"/>
      <w:bookmarkStart w:id="509" w:name="_Toc9774"/>
      <w:bookmarkStart w:id="510" w:name="_Toc15593"/>
      <w:bookmarkStart w:id="511" w:name="_Toc23024"/>
      <w:bookmarkStart w:id="512" w:name="_Toc26928"/>
      <w:bookmarkStart w:id="513" w:name="_Toc10395"/>
      <w:bookmarkStart w:id="514" w:name="_Toc17258"/>
      <w:bookmarkStart w:id="515" w:name="_Toc27579"/>
      <w:bookmarkStart w:id="516" w:name="_Toc7859"/>
      <w:r>
        <w:rPr>
          <w:rFonts w:hint="eastAsia" w:hAnsi="Times New Roman" w:cs="Times New Roman"/>
          <w:color w:val="auto"/>
          <w:lang w:val="en-US" w:eastAsia="zh-CN"/>
        </w:rPr>
        <w:t>检测记录与报告</w:t>
      </w:r>
      <w:bookmarkEnd w:id="505"/>
      <w:bookmarkEnd w:id="506"/>
      <w:bookmarkEnd w:id="507"/>
      <w:bookmarkEnd w:id="508"/>
      <w:bookmarkEnd w:id="509"/>
      <w:bookmarkEnd w:id="510"/>
      <w:bookmarkEnd w:id="511"/>
      <w:bookmarkEnd w:id="512"/>
      <w:bookmarkEnd w:id="513"/>
      <w:bookmarkEnd w:id="514"/>
      <w:bookmarkEnd w:id="515"/>
      <w:bookmarkEnd w:id="516"/>
    </w:p>
    <w:p w14:paraId="75ABDB05">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default" w:ascii="黑体" w:hAnsi="黑体" w:eastAsia="黑体" w:cs="黑体"/>
          <w:snapToGrid w:val="0"/>
          <w:color w:val="auto"/>
          <w:spacing w:val="8"/>
          <w:kern w:val="0"/>
          <w:sz w:val="21"/>
          <w:szCs w:val="21"/>
          <w:lang w:val="en-US" w:eastAsia="zh-CN"/>
        </w:rPr>
      </w:pPr>
      <w:bookmarkStart w:id="517" w:name="_Toc13879"/>
      <w:bookmarkStart w:id="518" w:name="_Toc5393"/>
      <w:bookmarkStart w:id="519" w:name="_Toc2893"/>
      <w:bookmarkStart w:id="520" w:name="_Toc5391"/>
      <w:bookmarkStart w:id="521" w:name="_Toc4414"/>
      <w:bookmarkStart w:id="522" w:name="_Toc19987"/>
      <w:bookmarkStart w:id="523" w:name="_Toc6607"/>
      <w:bookmarkStart w:id="524" w:name="_Toc8216"/>
      <w:bookmarkStart w:id="525" w:name="_Toc22619"/>
      <w:bookmarkStart w:id="526" w:name="_Toc17668"/>
      <w:bookmarkStart w:id="527" w:name="_Toc5549"/>
      <w:bookmarkStart w:id="528" w:name="_Toc5413"/>
      <w:bookmarkStart w:id="529" w:name="_Toc9378"/>
      <w:bookmarkStart w:id="530" w:name="_Toc14123"/>
      <w:bookmarkStart w:id="531" w:name="_Toc25227"/>
      <w:bookmarkStart w:id="532" w:name="_Toc16792"/>
      <w:bookmarkStart w:id="533" w:name="_Toc23797"/>
      <w:bookmarkStart w:id="534" w:name="_Toc22582"/>
      <w:bookmarkStart w:id="535" w:name="_Toc3103"/>
      <w:bookmarkStart w:id="536" w:name="_Toc2073"/>
      <w:bookmarkStart w:id="537" w:name="_Toc10178"/>
      <w:bookmarkStart w:id="538" w:name="_Toc22416"/>
      <w:bookmarkStart w:id="539" w:name="_Toc22616"/>
      <w:bookmarkStart w:id="540" w:name="_Toc15292"/>
      <w:r>
        <w:rPr>
          <w:rFonts w:hint="eastAsia" w:hAnsi="黑体" w:cs="黑体"/>
          <w:snapToGrid w:val="0"/>
          <w:color w:val="auto"/>
          <w:spacing w:val="8"/>
          <w:kern w:val="0"/>
          <w:sz w:val="21"/>
          <w:szCs w:val="21"/>
          <w:lang w:val="en-US" w:eastAsia="zh-CN"/>
        </w:rPr>
        <w:t>8</w:t>
      </w:r>
      <w:r>
        <w:rPr>
          <w:rFonts w:hint="eastAsia" w:ascii="黑体" w:hAnsi="黑体" w:eastAsia="黑体" w:cs="黑体"/>
          <w:snapToGrid w:val="0"/>
          <w:color w:val="auto"/>
          <w:spacing w:val="8"/>
          <w:kern w:val="0"/>
          <w:sz w:val="21"/>
          <w:szCs w:val="21"/>
          <w:lang w:val="en-US" w:eastAsia="zh-CN"/>
        </w:rPr>
        <w:t xml:space="preserve">.1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检测记录要求</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72F061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8.1.1  </w:t>
      </w:r>
      <w:r>
        <w:rPr>
          <w:rFonts w:hint="eastAsia" w:ascii="宋体" w:hAnsi="宋体" w:eastAsia="宋体" w:cs="宋体"/>
          <w:snapToGrid w:val="0"/>
          <w:color w:val="auto"/>
          <w:kern w:val="0"/>
          <w:sz w:val="21"/>
          <w:szCs w:val="21"/>
          <w:lang w:val="en-US" w:eastAsia="zh-CN" w:bidi="ar"/>
        </w:rPr>
        <w:t>检测人员应按检测要求记录检测数据和有关信息。</w:t>
      </w:r>
    </w:p>
    <w:p w14:paraId="1B7D68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eastAsia" w:ascii="宋体" w:hAnsi="宋体" w:eastAsia="宋体" w:cs="宋体"/>
          <w:snapToGrid w:val="0"/>
          <w:color w:val="auto"/>
          <w:kern w:val="0"/>
          <w:sz w:val="21"/>
          <w:szCs w:val="21"/>
          <w:lang w:val="zh-CN" w:eastAsia="zh-CN" w:bidi="ar"/>
        </w:rPr>
      </w:pPr>
      <w:r>
        <w:rPr>
          <w:rFonts w:hint="eastAsia" w:ascii="黑体" w:hAnsi="黑体" w:eastAsia="黑体" w:cs="黑体"/>
          <w:color w:val="auto"/>
          <w:spacing w:val="8"/>
          <w:kern w:val="0"/>
          <w:sz w:val="21"/>
          <w:szCs w:val="21"/>
          <w:highlight w:val="none"/>
          <w:lang w:val="en-US" w:eastAsia="zh-CN" w:bidi="ar-SA"/>
        </w:rPr>
        <w:t>8</w:t>
      </w:r>
      <w:r>
        <w:rPr>
          <w:rFonts w:hint="eastAsia" w:ascii="黑体" w:hAnsi="黑体" w:eastAsia="黑体" w:cs="黑体"/>
          <w:color w:val="auto"/>
          <w:spacing w:val="8"/>
          <w:kern w:val="0"/>
          <w:sz w:val="21"/>
          <w:szCs w:val="21"/>
          <w:highlight w:val="none"/>
          <w:lang w:val="en-US" w:eastAsia="en-US" w:bidi="ar-SA"/>
        </w:rPr>
        <w:t>.</w:t>
      </w:r>
      <w:r>
        <w:rPr>
          <w:rFonts w:hint="eastAsia" w:ascii="黑体" w:hAnsi="黑体" w:eastAsia="黑体" w:cs="黑体"/>
          <w:color w:val="auto"/>
          <w:spacing w:val="8"/>
          <w:kern w:val="0"/>
          <w:sz w:val="21"/>
          <w:szCs w:val="21"/>
          <w:highlight w:val="none"/>
          <w:lang w:val="en-US" w:eastAsia="zh-CN" w:bidi="ar-SA"/>
        </w:rPr>
        <w:t>1.2</w:t>
      </w:r>
      <w:r>
        <w:rPr>
          <w:rFonts w:hint="eastAsia" w:ascii="宋体" w:hAnsi="宋体" w:eastAsia="宋体" w:cs="宋体"/>
          <w:snapToGrid w:val="0"/>
          <w:color w:val="auto"/>
          <w:kern w:val="0"/>
          <w:sz w:val="21"/>
          <w:szCs w:val="21"/>
          <w:lang w:val="en-US" w:eastAsia="zh-CN" w:bidi="ar"/>
        </w:rPr>
        <w:t xml:space="preserve">  检测记录应数据准确、字迹清晰、信息完整。对于存在火灾隐患的电气设备和线路，应清晰记录隐患的内容、部位、表现形式及相关检测数据。</w:t>
      </w:r>
    </w:p>
    <w:p w14:paraId="7050D8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8.1.3 </w:t>
      </w:r>
      <w:r>
        <w:rPr>
          <w:rFonts w:hint="eastAsia" w:ascii="宋体" w:hAnsi="宋体" w:eastAsia="宋体" w:cs="宋体"/>
          <w:snapToGrid w:val="0"/>
          <w:color w:val="auto"/>
          <w:kern w:val="0"/>
          <w:sz w:val="21"/>
          <w:szCs w:val="21"/>
          <w:lang w:val="en-US" w:eastAsia="zh-CN" w:bidi="ar"/>
        </w:rPr>
        <w:t xml:space="preserve"> 火灾隐患的记录可以用图像、文字等多种表述</w:t>
      </w:r>
      <w:r>
        <w:rPr>
          <w:rFonts w:hint="eastAsia" w:ascii="宋体" w:hAnsi="宋体" w:eastAsia="宋体" w:cs="宋体"/>
          <w:snapToGrid w:val="0"/>
          <w:color w:val="auto"/>
          <w:kern w:val="0"/>
          <w:sz w:val="21"/>
          <w:szCs w:val="21"/>
          <w:lang w:val="zh-CN" w:eastAsia="zh-CN" w:bidi="ar"/>
        </w:rPr>
        <w:t>方式。</w:t>
      </w:r>
    </w:p>
    <w:p w14:paraId="6BE6BFB2">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lang w:val="en-US" w:eastAsia="zh-CN"/>
        </w:rPr>
      </w:pPr>
      <w:bookmarkStart w:id="541" w:name="_Toc11072"/>
      <w:bookmarkStart w:id="542" w:name="_Toc21600"/>
      <w:bookmarkStart w:id="543" w:name="_Toc5432"/>
      <w:bookmarkStart w:id="544" w:name="_Toc25719"/>
      <w:bookmarkStart w:id="545" w:name="_Toc4111"/>
      <w:bookmarkStart w:id="546" w:name="_Toc3382"/>
      <w:bookmarkStart w:id="547" w:name="_Toc10221"/>
      <w:bookmarkStart w:id="548" w:name="_Toc3478"/>
      <w:bookmarkStart w:id="549" w:name="_Toc18591"/>
      <w:bookmarkStart w:id="550" w:name="_Toc2347"/>
      <w:bookmarkStart w:id="551" w:name="_Toc7572"/>
      <w:bookmarkStart w:id="552" w:name="_Toc9552"/>
      <w:bookmarkStart w:id="553" w:name="_Toc24775"/>
      <w:bookmarkStart w:id="554" w:name="_Toc24514"/>
      <w:bookmarkStart w:id="555" w:name="_Toc17622"/>
      <w:bookmarkStart w:id="556" w:name="_Toc14147"/>
      <w:bookmarkStart w:id="557" w:name="_Toc6301"/>
      <w:bookmarkStart w:id="558" w:name="_Toc6313"/>
      <w:bookmarkStart w:id="559" w:name="_Toc16258"/>
      <w:bookmarkStart w:id="560" w:name="_Toc11361"/>
      <w:bookmarkStart w:id="561" w:name="_Toc32551"/>
      <w:bookmarkStart w:id="562" w:name="_Toc4360"/>
      <w:bookmarkStart w:id="563" w:name="_Toc11686"/>
      <w:bookmarkStart w:id="564" w:name="_Toc6911"/>
      <w:r>
        <w:rPr>
          <w:rFonts w:hint="eastAsia" w:hAnsi="黑体" w:cs="黑体"/>
          <w:snapToGrid w:val="0"/>
          <w:color w:val="auto"/>
          <w:spacing w:val="8"/>
          <w:kern w:val="0"/>
          <w:sz w:val="21"/>
          <w:szCs w:val="21"/>
          <w:lang w:val="en-US" w:eastAsia="zh-CN"/>
        </w:rPr>
        <w:t>8</w:t>
      </w:r>
      <w:r>
        <w:rPr>
          <w:rFonts w:hint="eastAsia" w:ascii="黑体" w:hAnsi="黑体" w:eastAsia="黑体" w:cs="黑体"/>
          <w:snapToGrid w:val="0"/>
          <w:color w:val="auto"/>
          <w:spacing w:val="8"/>
          <w:kern w:val="0"/>
          <w:sz w:val="21"/>
          <w:szCs w:val="21"/>
          <w:lang w:val="en-US" w:eastAsia="zh-CN"/>
        </w:rPr>
        <w:t xml:space="preserve">.2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检测报告</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ascii="黑体" w:hAnsi="黑体" w:eastAsia="黑体" w:cs="黑体"/>
          <w:snapToGrid w:val="0"/>
          <w:color w:val="auto"/>
          <w:spacing w:val="8"/>
          <w:kern w:val="0"/>
          <w:sz w:val="21"/>
          <w:szCs w:val="21"/>
          <w:lang w:val="en-US" w:eastAsia="zh-CN"/>
        </w:rPr>
        <w:t xml:space="preserve"> </w:t>
      </w:r>
    </w:p>
    <w:p w14:paraId="2CF87915">
      <w:pPr>
        <w:keepNext w:val="0"/>
        <w:keepLines w:val="0"/>
        <w:widowControl/>
        <w:suppressLineNumbers w:val="0"/>
        <w:jc w:val="left"/>
        <w:rPr>
          <w:color w:val="auto"/>
        </w:rPr>
      </w:pPr>
      <w:r>
        <w:rPr>
          <w:rFonts w:hint="eastAsia" w:ascii="黑体" w:hAnsi="黑体" w:eastAsia="黑体" w:cs="黑体"/>
          <w:color w:val="auto"/>
          <w:spacing w:val="8"/>
          <w:kern w:val="0"/>
          <w:sz w:val="21"/>
          <w:szCs w:val="21"/>
          <w:highlight w:val="none"/>
          <w:lang w:val="en-US" w:eastAsia="zh-CN" w:bidi="ar-SA"/>
        </w:rPr>
        <w:t>8.2.1　</w:t>
      </w:r>
      <w:r>
        <w:rPr>
          <w:rFonts w:hint="eastAsia" w:ascii="宋体" w:hAnsi="宋体" w:eastAsia="宋体" w:cs="宋体"/>
          <w:color w:val="auto"/>
          <w:kern w:val="0"/>
          <w:sz w:val="21"/>
          <w:szCs w:val="21"/>
          <w:lang w:val="en-US" w:eastAsia="zh-CN" w:bidi="ar"/>
        </w:rPr>
        <w:t>检测报告应至少包括以下基本内容：</w:t>
      </w:r>
    </w:p>
    <w:p w14:paraId="5A077C8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检测报告名称</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编号</w:t>
      </w:r>
      <w:r>
        <w:rPr>
          <w:rFonts w:hint="eastAsia" w:ascii="宋体" w:hAnsi="宋体" w:cs="宋体"/>
          <w:snapToGrid w:val="0"/>
          <w:color w:val="auto"/>
          <w:kern w:val="0"/>
          <w:sz w:val="21"/>
          <w:szCs w:val="21"/>
          <w:lang w:val="en-US" w:eastAsia="zh-CN" w:bidi="ar"/>
        </w:rPr>
        <w:t>；</w:t>
      </w:r>
    </w:p>
    <w:p w14:paraId="51A27C4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highlight w:val="none"/>
          <w:lang w:val="en-US" w:eastAsia="zh-CN" w:bidi="ar"/>
        </w:rPr>
        <w:t>b</w:t>
      </w:r>
      <w:r>
        <w:rPr>
          <w:rFonts w:hint="eastAsia" w:ascii="宋体" w:hAnsi="宋体" w:cs="宋体"/>
          <w:color w:val="auto"/>
          <w:spacing w:val="11"/>
          <w:sz w:val="21"/>
          <w:szCs w:val="21"/>
          <w:highlight w:val="none"/>
          <w:lang w:val="en-US" w:eastAsia="zh-CN"/>
        </w:rPr>
        <w:t>)</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检测项目基本情况及检测环境</w:t>
      </w:r>
      <w:r>
        <w:rPr>
          <w:rFonts w:hint="eastAsia" w:ascii="宋体" w:hAnsi="宋体" w:cs="宋体"/>
          <w:snapToGrid w:val="0"/>
          <w:color w:val="auto"/>
          <w:kern w:val="0"/>
          <w:sz w:val="21"/>
          <w:szCs w:val="21"/>
          <w:lang w:val="en-US" w:eastAsia="zh-CN" w:bidi="ar"/>
        </w:rPr>
        <w:t>；</w:t>
      </w:r>
    </w:p>
    <w:p w14:paraId="4B87345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default"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highlight w:val="none"/>
          <w:lang w:val="en-US" w:eastAsia="zh-CN" w:bidi="ar"/>
        </w:rPr>
        <w:t>c</w:t>
      </w:r>
      <w:r>
        <w:rPr>
          <w:rFonts w:hint="eastAsia" w:ascii="宋体" w:hAnsi="宋体" w:cs="宋体"/>
          <w:color w:val="auto"/>
          <w:spacing w:val="11"/>
          <w:sz w:val="21"/>
          <w:szCs w:val="21"/>
          <w:highlight w:val="none"/>
          <w:lang w:val="en-US" w:eastAsia="zh-CN"/>
        </w:rPr>
        <w:t>)</w:t>
      </w:r>
      <w:r>
        <w:rPr>
          <w:rFonts w:hint="eastAsia" w:ascii="宋体" w:hAnsi="宋体" w:cs="宋体"/>
          <w:snapToGrid w:val="0"/>
          <w:color w:val="auto"/>
          <w:kern w:val="0"/>
          <w:sz w:val="21"/>
          <w:szCs w:val="21"/>
          <w:lang w:val="en-US" w:eastAsia="zh-CN" w:bidi="ar"/>
        </w:rPr>
        <w:t xml:space="preserve">  检测时使用的仪器和设备；</w:t>
      </w:r>
    </w:p>
    <w:p w14:paraId="2E6890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highlight w:val="none"/>
          <w:lang w:val="en-US" w:eastAsia="zh-CN" w:bidi="ar"/>
        </w:rPr>
        <w:t>d</w:t>
      </w:r>
      <w:r>
        <w:rPr>
          <w:rFonts w:hint="eastAsia" w:ascii="宋体" w:hAnsi="宋体" w:cs="宋体"/>
          <w:color w:val="auto"/>
          <w:spacing w:val="11"/>
          <w:sz w:val="21"/>
          <w:szCs w:val="21"/>
          <w:highlight w:val="none"/>
          <w:lang w:val="en-US" w:eastAsia="zh-CN"/>
        </w:rPr>
        <w:t>)</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报告的唯一性标识和每页及总页数的标识</w:t>
      </w:r>
      <w:r>
        <w:rPr>
          <w:rFonts w:hint="eastAsia" w:ascii="宋体" w:hAnsi="宋体" w:cs="宋体"/>
          <w:snapToGrid w:val="0"/>
          <w:color w:val="auto"/>
          <w:kern w:val="0"/>
          <w:sz w:val="21"/>
          <w:szCs w:val="21"/>
          <w:lang w:val="en-US" w:eastAsia="zh-CN" w:bidi="ar"/>
        </w:rPr>
        <w:t>；</w:t>
      </w:r>
    </w:p>
    <w:p w14:paraId="07A66A9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e</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检测日期及报告签发日期；</w:t>
      </w:r>
    </w:p>
    <w:p w14:paraId="0AE165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f</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检测依据或执行标准；</w:t>
      </w:r>
    </w:p>
    <w:p w14:paraId="71E5F1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g</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检测项目、检测结论</w:t>
      </w:r>
      <w:r>
        <w:rPr>
          <w:rFonts w:hint="eastAsia" w:ascii="宋体" w:hAnsi="宋体" w:cs="宋体"/>
          <w:snapToGrid w:val="0"/>
          <w:color w:val="auto"/>
          <w:kern w:val="0"/>
          <w:sz w:val="21"/>
          <w:szCs w:val="21"/>
          <w:highlight w:val="none"/>
          <w:lang w:val="en-US" w:eastAsia="zh-CN" w:bidi="ar"/>
        </w:rPr>
        <w:t>，检测结论应指出电气火灾隐患的危害及严重程度，并提出整改意见</w:t>
      </w:r>
      <w:r>
        <w:rPr>
          <w:rFonts w:hint="eastAsia" w:ascii="宋体" w:hAnsi="宋体" w:eastAsia="宋体" w:cs="宋体"/>
          <w:snapToGrid w:val="0"/>
          <w:color w:val="auto"/>
          <w:kern w:val="0"/>
          <w:sz w:val="21"/>
          <w:szCs w:val="21"/>
          <w:highlight w:val="none"/>
          <w:lang w:val="en-US" w:eastAsia="zh-CN" w:bidi="ar"/>
        </w:rPr>
        <w:t>；</w:t>
      </w:r>
    </w:p>
    <w:p w14:paraId="1778FC8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h</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检测机构的名称、地址及通讯信息。</w:t>
      </w:r>
    </w:p>
    <w:p w14:paraId="1F672A6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8.2.2  </w:t>
      </w:r>
      <w:r>
        <w:rPr>
          <w:rFonts w:hint="eastAsia" w:ascii="宋体" w:hAnsi="宋体" w:eastAsia="宋体" w:cs="宋体"/>
          <w:snapToGrid w:val="0"/>
          <w:color w:val="auto"/>
          <w:kern w:val="0"/>
          <w:sz w:val="21"/>
          <w:szCs w:val="21"/>
          <w:lang w:val="en-US" w:eastAsia="zh-CN" w:bidi="ar"/>
        </w:rPr>
        <w:t>检测报告应有检测人员、项目负责人签名，加盖检测机构公章(或检测专用章)及骑缝章</w:t>
      </w:r>
      <w:r>
        <w:rPr>
          <w:rFonts w:hint="eastAsia" w:ascii="宋体" w:hAnsi="宋体" w:cs="宋体"/>
          <w:snapToGrid w:val="0"/>
          <w:color w:val="auto"/>
          <w:kern w:val="0"/>
          <w:sz w:val="21"/>
          <w:szCs w:val="21"/>
          <w:lang w:val="en-US" w:eastAsia="zh-CN" w:bidi="ar"/>
        </w:rPr>
        <w:t>。</w:t>
      </w:r>
    </w:p>
    <w:p w14:paraId="1BDA801D">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default" w:ascii="宋体" w:hAnsi="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8.2.3  </w:t>
      </w:r>
      <w:r>
        <w:rPr>
          <w:rFonts w:hint="eastAsia" w:ascii="宋体" w:hAnsi="宋体" w:eastAsia="宋体" w:cs="宋体"/>
          <w:snapToGrid w:val="0"/>
          <w:color w:val="auto"/>
          <w:kern w:val="0"/>
          <w:sz w:val="21"/>
          <w:szCs w:val="21"/>
          <w:lang w:val="en-US" w:eastAsia="zh-CN" w:bidi="ar"/>
        </w:rPr>
        <w:t>检测报告</w:t>
      </w:r>
      <w:r>
        <w:rPr>
          <w:rFonts w:hint="eastAsia" w:ascii="宋体" w:hAnsi="宋体" w:cs="宋体"/>
          <w:snapToGrid w:val="0"/>
          <w:color w:val="auto"/>
          <w:kern w:val="0"/>
          <w:sz w:val="21"/>
          <w:szCs w:val="21"/>
          <w:lang w:val="en-US" w:eastAsia="zh-CN" w:bidi="ar"/>
        </w:rPr>
        <w:t>样式见附录F。</w:t>
      </w:r>
    </w:p>
    <w:p w14:paraId="5711A439">
      <w:pPr>
        <w:pStyle w:val="258"/>
        <w:ind w:left="0" w:leftChars="0" w:firstLine="0" w:firstLineChars="0"/>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8.2.4  </w:t>
      </w:r>
      <w:r>
        <w:rPr>
          <w:rFonts w:hint="eastAsia" w:ascii="宋体" w:hAnsi="宋体" w:eastAsia="宋体" w:cs="宋体"/>
          <w:snapToGrid w:val="0"/>
          <w:color w:val="auto"/>
          <w:kern w:val="0"/>
          <w:sz w:val="21"/>
          <w:szCs w:val="21"/>
          <w:lang w:val="en-US" w:eastAsia="zh-CN" w:bidi="ar"/>
        </w:rPr>
        <w:t>出具的检测报告应与检测记录文档、现场视频或照片、设计图纸及相关资料等进行存档保留</w:t>
      </w:r>
      <w:r>
        <w:rPr>
          <w:rFonts w:hint="eastAsia" w:hAnsi="宋体" w:cs="宋体"/>
          <w:snapToGrid w:val="0"/>
          <w:color w:val="auto"/>
          <w:kern w:val="0"/>
          <w:sz w:val="21"/>
          <w:szCs w:val="21"/>
          <w:lang w:val="en-US" w:eastAsia="zh-CN" w:bidi="ar"/>
        </w:rPr>
        <w:t>，存档保留时间不低于6年</w:t>
      </w:r>
      <w:r>
        <w:rPr>
          <w:rFonts w:hint="eastAsia" w:ascii="宋体" w:hAnsi="宋体" w:eastAsia="宋体" w:cs="宋体"/>
          <w:snapToGrid w:val="0"/>
          <w:color w:val="auto"/>
          <w:kern w:val="0"/>
          <w:sz w:val="21"/>
          <w:szCs w:val="21"/>
          <w:lang w:val="en-US" w:eastAsia="zh-CN" w:bidi="ar"/>
        </w:rPr>
        <w:t>。</w:t>
      </w:r>
    </w:p>
    <w:p w14:paraId="103A3901">
      <w:pPr>
        <w:rPr>
          <w:rFonts w:hint="eastAsia" w:ascii="宋体" w:hAnsi="宋体" w:eastAsia="宋体" w:cs="宋体"/>
          <w:snapToGrid w:val="0"/>
          <w:color w:val="auto"/>
          <w:kern w:val="0"/>
          <w:sz w:val="21"/>
          <w:szCs w:val="21"/>
          <w:lang w:val="en-US" w:eastAsia="zh-CN" w:bidi="ar"/>
        </w:rPr>
        <w:sectPr>
          <w:headerReference r:id="rId12" w:type="first"/>
          <w:footerReference r:id="rId14" w:type="first"/>
          <w:footerReference r:id="rId13" w:type="default"/>
          <w:pgSz w:w="11907" w:h="16839"/>
          <w:pgMar w:top="1418" w:right="1134" w:bottom="1134" w:left="1418" w:header="1418" w:footer="1134" w:gutter="0"/>
          <w:lnNumType w:countBy="0" w:restart="continuous"/>
          <w:pgNumType w:fmt="decimal" w:start="1"/>
          <w:cols w:space="425" w:num="1"/>
          <w:rtlGutter w:val="0"/>
          <w:docGrid w:type="lines" w:linePitch="312" w:charSpace="0"/>
        </w:sectPr>
      </w:pPr>
    </w:p>
    <w:p w14:paraId="3BEC7F79">
      <w:pPr>
        <w:pStyle w:val="347"/>
        <w:bidi w:val="0"/>
        <w:ind w:left="0" w:leftChars="0" w:firstLine="0" w:firstLineChars="0"/>
        <w:rPr>
          <w:rFonts w:hint="eastAsia"/>
          <w:color w:val="auto"/>
          <w:lang w:val="en-US" w:eastAsia="zh-CN"/>
        </w:rPr>
      </w:pPr>
      <w:bookmarkStart w:id="565" w:name="标准附录"/>
      <w:bookmarkEnd w:id="565"/>
      <w:bookmarkStart w:id="566" w:name="_Toc18641"/>
      <w:bookmarkStart w:id="567" w:name="_Toc16343"/>
      <w:bookmarkStart w:id="568" w:name="_Toc2721"/>
      <w:bookmarkStart w:id="569" w:name="_Toc985"/>
      <w:bookmarkStart w:id="570" w:name="_Toc11501"/>
      <w:bookmarkStart w:id="571" w:name="_Toc18614"/>
      <w:bookmarkStart w:id="572" w:name="_Toc15088"/>
      <w:bookmarkStart w:id="573" w:name="_Toc19926"/>
      <w:bookmarkStart w:id="574" w:name="附录头部信息书签_1"/>
    </w:p>
    <w:p w14:paraId="5D5D49E3">
      <w:pPr>
        <w:pStyle w:val="348"/>
        <w:bidi w:val="0"/>
        <w:ind w:left="0" w:leftChars="0" w:firstLine="0" w:firstLineChars="0"/>
        <w:rPr>
          <w:rFonts w:hint="eastAsia"/>
          <w:color w:val="auto"/>
          <w:lang w:val="en-US" w:eastAsia="zh-CN"/>
        </w:rPr>
      </w:pPr>
    </w:p>
    <w:bookmarkEnd w:id="566"/>
    <w:bookmarkEnd w:id="567"/>
    <w:bookmarkEnd w:id="568"/>
    <w:bookmarkEnd w:id="569"/>
    <w:bookmarkEnd w:id="570"/>
    <w:bookmarkEnd w:id="571"/>
    <w:bookmarkEnd w:id="572"/>
    <w:bookmarkEnd w:id="573"/>
    <w:bookmarkEnd w:id="574"/>
    <w:p w14:paraId="1B167190">
      <w:pPr>
        <w:pStyle w:val="274"/>
        <w:bidi w:val="0"/>
        <w:jc w:val="center"/>
        <w:rPr>
          <w:rFonts w:hint="eastAsia"/>
          <w:color w:val="auto"/>
          <w:lang w:val="en-US" w:eastAsia="zh-CN"/>
        </w:rPr>
      </w:pPr>
      <w:bookmarkStart w:id="575" w:name="_Toc22976"/>
      <w:bookmarkStart w:id="576" w:name="_Toc31512"/>
      <w:bookmarkStart w:id="577" w:name="_Toc28050"/>
      <w:bookmarkStart w:id="578" w:name="_Toc4851"/>
      <w:bookmarkStart w:id="579" w:name="_Toc25975"/>
      <w:bookmarkStart w:id="580" w:name="_Toc19075"/>
      <w:bookmarkStart w:id="581" w:name="_Toc26988"/>
      <w:bookmarkStart w:id="582" w:name="_Toc28643"/>
      <w:bookmarkStart w:id="583" w:name="_Toc16038"/>
      <w:bookmarkStart w:id="584" w:name="附录头部信息书签_2"/>
      <w:bookmarkStart w:id="585" w:name="_Toc17058"/>
      <w:bookmarkStart w:id="586" w:name="_Toc11389"/>
      <w:bookmarkStart w:id="587" w:name="_Toc22689"/>
      <w:bookmarkStart w:id="588" w:name="_Toc26184"/>
      <w:bookmarkStart w:id="589" w:name="_Toc10763"/>
      <w:bookmarkStart w:id="590" w:name="_Toc17581"/>
      <w:r>
        <w:rPr>
          <w:rFonts w:hint="eastAsia"/>
          <w:color w:val="auto"/>
          <w:lang w:val="en-US" w:eastAsia="zh-CN"/>
        </w:rPr>
        <w:br w:type="textWrapping"/>
      </w:r>
      <w:r>
        <w:rPr>
          <w:rFonts w:hint="eastAsia"/>
          <w:color w:val="auto"/>
          <w:lang w:val="en-US" w:eastAsia="zh-CN"/>
        </w:rPr>
        <w:t>（规范性）</w:t>
      </w:r>
      <w:r>
        <w:rPr>
          <w:rFonts w:hint="eastAsia"/>
          <w:color w:val="auto"/>
          <w:lang w:val="en-US" w:eastAsia="zh-CN"/>
        </w:rPr>
        <w:br w:type="textWrapping"/>
      </w:r>
      <w:bookmarkEnd w:id="575"/>
      <w:bookmarkEnd w:id="576"/>
      <w:bookmarkEnd w:id="577"/>
      <w:r>
        <w:rPr>
          <w:rFonts w:hint="eastAsia"/>
          <w:color w:val="auto"/>
          <w:lang w:val="en-US" w:eastAsia="zh-CN"/>
        </w:rPr>
        <w:t>项目人员配置要求</w:t>
      </w:r>
      <w:bookmarkEnd w:id="578"/>
    </w:p>
    <w:p w14:paraId="63C27B4D">
      <w:pPr>
        <w:pStyle w:val="275"/>
        <w:bidi w:val="0"/>
        <w:ind w:left="0" w:leftChars="0" w:firstLine="0" w:firstLineChars="0"/>
        <w:rPr>
          <w:rFonts w:hint="default"/>
          <w:color w:val="auto"/>
          <w:lang w:val="en-US" w:eastAsia="zh-CN"/>
        </w:rPr>
      </w:pPr>
      <w:bookmarkStart w:id="591" w:name="_Toc15470"/>
      <w:bookmarkStart w:id="592" w:name="_Toc18319"/>
      <w:bookmarkStart w:id="593" w:name="_Toc26409"/>
      <w:bookmarkStart w:id="594" w:name="_Toc23445"/>
      <w:bookmarkStart w:id="595" w:name="_Toc20440"/>
      <w:bookmarkStart w:id="596" w:name="_Toc14243"/>
      <w:bookmarkStart w:id="597" w:name="_Toc29159"/>
      <w:bookmarkStart w:id="598" w:name="_Toc22970"/>
      <w:bookmarkStart w:id="599" w:name="_Toc25794"/>
      <w:bookmarkStart w:id="600" w:name="_Toc23129"/>
      <w:r>
        <w:rPr>
          <w:rFonts w:hint="eastAsia"/>
          <w:color w:val="auto"/>
          <w:lang w:val="en-US" w:eastAsia="zh-CN"/>
        </w:rPr>
        <w:t>项目人员配置要求表</w:t>
      </w:r>
      <w:bookmarkEnd w:id="591"/>
      <w:bookmarkEnd w:id="592"/>
      <w:bookmarkEnd w:id="593"/>
      <w:bookmarkEnd w:id="594"/>
      <w:bookmarkEnd w:id="595"/>
      <w:bookmarkEnd w:id="596"/>
      <w:bookmarkEnd w:id="597"/>
      <w:bookmarkEnd w:id="598"/>
      <w:bookmarkEnd w:id="599"/>
      <w:bookmarkEnd w:id="600"/>
    </w:p>
    <w:tbl>
      <w:tblPr>
        <w:tblStyle w:val="88"/>
        <w:tblW w:w="9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2468"/>
        <w:gridCol w:w="6213"/>
      </w:tblGrid>
      <w:tr w14:paraId="7A69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7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序号</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35B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人员角色</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93E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资质要求</w:t>
            </w:r>
          </w:p>
        </w:tc>
      </w:tr>
      <w:tr w14:paraId="46A4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42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F0D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项目负责人</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1C8">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注册消防工程师</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高</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低压电工证</w:t>
            </w:r>
            <w:r>
              <w:rPr>
                <w:rFonts w:hint="eastAsia" w:ascii="宋体" w:hAnsi="宋体" w:cs="宋体"/>
                <w:i w:val="0"/>
                <w:iCs w:val="0"/>
                <w:color w:val="auto"/>
                <w:sz w:val="18"/>
                <w:szCs w:val="18"/>
                <w:u w:val="none"/>
                <w:lang w:val="en-US" w:eastAsia="zh-CN"/>
              </w:rPr>
              <w:t>（或</w:t>
            </w:r>
            <w:r>
              <w:rPr>
                <w:rFonts w:hint="eastAsia" w:ascii="宋体" w:hAnsi="宋体" w:eastAsia="宋体" w:cs="宋体"/>
                <w:i w:val="0"/>
                <w:iCs w:val="0"/>
                <w:color w:val="auto"/>
                <w:sz w:val="18"/>
                <w:szCs w:val="18"/>
                <w:u w:val="none"/>
                <w:lang w:val="en-US" w:eastAsia="zh-CN"/>
              </w:rPr>
              <w:t>电气试验证</w:t>
            </w:r>
            <w:r>
              <w:rPr>
                <w:rFonts w:hint="eastAsia" w:ascii="宋体" w:hAnsi="宋体" w:cs="宋体"/>
                <w:i w:val="0"/>
                <w:iCs w:val="0"/>
                <w:color w:val="auto"/>
                <w:sz w:val="18"/>
                <w:szCs w:val="18"/>
                <w:u w:val="none"/>
                <w:lang w:val="en-US" w:eastAsia="zh-CN"/>
              </w:rPr>
              <w:t>）</w:t>
            </w:r>
          </w:p>
        </w:tc>
      </w:tr>
      <w:tr w14:paraId="1561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D1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54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项目</w:t>
            </w:r>
            <w:r>
              <w:rPr>
                <w:rFonts w:hint="eastAsia" w:ascii="宋体" w:hAnsi="宋体" w:eastAsia="宋体" w:cs="宋体"/>
                <w:i w:val="0"/>
                <w:iCs w:val="0"/>
                <w:color w:val="auto"/>
                <w:sz w:val="18"/>
                <w:szCs w:val="18"/>
                <w:u w:val="none"/>
                <w:lang w:val="en-US" w:eastAsia="zh-CN"/>
              </w:rPr>
              <w:t>技术负责人</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5BE7">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一级</w:t>
            </w:r>
            <w:r>
              <w:rPr>
                <w:rFonts w:hint="eastAsia" w:ascii="宋体" w:hAnsi="宋体" w:eastAsia="宋体" w:cs="宋体"/>
                <w:i w:val="0"/>
                <w:iCs w:val="0"/>
                <w:color w:val="auto"/>
                <w:sz w:val="18"/>
                <w:szCs w:val="18"/>
                <w:u w:val="none"/>
                <w:lang w:val="en-US" w:eastAsia="zh-CN"/>
              </w:rPr>
              <w:t>注册消防工程师</w:t>
            </w:r>
            <w:r>
              <w:rPr>
                <w:rFonts w:hint="eastAsia" w:ascii="宋体" w:hAnsi="宋体" w:cs="宋体"/>
                <w:i w:val="0"/>
                <w:iCs w:val="0"/>
                <w:color w:val="auto"/>
                <w:sz w:val="18"/>
                <w:szCs w:val="18"/>
                <w:u w:val="none"/>
                <w:lang w:val="en-US" w:eastAsia="zh-CN"/>
              </w:rPr>
              <w:t>（需同时具备电气相关专业中级及以上职称）或注册电气工程师</w:t>
            </w:r>
          </w:p>
        </w:tc>
      </w:tr>
      <w:tr w14:paraId="757C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3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A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检测员</w:t>
            </w:r>
          </w:p>
        </w:tc>
        <w:tc>
          <w:tcPr>
            <w:tcW w:w="6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CD5">
            <w:pPr>
              <w:keepNext w:val="0"/>
              <w:keepLines w:val="0"/>
              <w:widowControl/>
              <w:suppressLineNumbers w:val="0"/>
              <w:jc w:val="center"/>
              <w:textAlignment w:val="bottom"/>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lang w:val="en-US" w:eastAsia="zh-CN"/>
              </w:rPr>
              <w:t>高压电工证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低压电工证</w:t>
            </w:r>
            <w:r>
              <w:rPr>
                <w:rFonts w:hint="eastAsia" w:ascii="宋体" w:hAnsi="宋体" w:cs="宋体"/>
                <w:i w:val="0"/>
                <w:iCs w:val="0"/>
                <w:color w:val="auto"/>
                <w:sz w:val="18"/>
                <w:szCs w:val="18"/>
                <w:u w:val="none"/>
                <w:lang w:val="en-US" w:eastAsia="zh-CN"/>
              </w:rPr>
              <w:t>（或</w:t>
            </w:r>
            <w:r>
              <w:rPr>
                <w:rFonts w:hint="eastAsia" w:ascii="宋体" w:hAnsi="宋体" w:eastAsia="宋体" w:cs="宋体"/>
                <w:i w:val="0"/>
                <w:iCs w:val="0"/>
                <w:color w:val="auto"/>
                <w:sz w:val="18"/>
                <w:szCs w:val="18"/>
                <w:u w:val="none"/>
                <w:lang w:val="en-US" w:eastAsia="zh-CN"/>
              </w:rPr>
              <w:t>电气试验证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消防设施操作员证（</w:t>
            </w:r>
            <w:r>
              <w:rPr>
                <w:rFonts w:hint="eastAsia" w:ascii="宋体" w:hAnsi="宋体" w:cs="宋体"/>
                <w:i w:val="0"/>
                <w:iCs w:val="0"/>
                <w:color w:val="auto"/>
                <w:sz w:val="18"/>
                <w:szCs w:val="18"/>
                <w:u w:val="none"/>
                <w:lang w:val="en-US" w:eastAsia="zh-CN"/>
              </w:rPr>
              <w:t>检测</w:t>
            </w:r>
            <w:r>
              <w:rPr>
                <w:rFonts w:hint="eastAsia" w:ascii="宋体" w:hAnsi="宋体" w:eastAsia="宋体" w:cs="宋体"/>
                <w:i w:val="0"/>
                <w:iCs w:val="0"/>
                <w:color w:val="auto"/>
                <w:sz w:val="18"/>
                <w:szCs w:val="18"/>
                <w:u w:val="none"/>
                <w:lang w:val="en-US" w:eastAsia="zh-CN"/>
              </w:rPr>
              <w:t>维保方向</w:t>
            </w:r>
            <w:r>
              <w:rPr>
                <w:rFonts w:hint="eastAsia" w:ascii="宋体" w:hAnsi="宋体" w:cs="宋体"/>
                <w:i w:val="0"/>
                <w:iCs w:val="0"/>
                <w:color w:val="auto"/>
                <w:sz w:val="18"/>
                <w:szCs w:val="18"/>
                <w:u w:val="none"/>
                <w:lang w:val="en-US" w:eastAsia="zh-CN"/>
              </w:rPr>
              <w:t>、中级及以上</w:t>
            </w:r>
            <w:r>
              <w:rPr>
                <w:rFonts w:hint="eastAsia" w:ascii="宋体" w:hAnsi="宋体" w:eastAsia="宋体" w:cs="宋体"/>
                <w:i w:val="0"/>
                <w:iCs w:val="0"/>
                <w:color w:val="auto"/>
                <w:sz w:val="18"/>
                <w:szCs w:val="18"/>
                <w:u w:val="none"/>
                <w:lang w:val="en-US" w:eastAsia="zh-CN"/>
              </w:rPr>
              <w:t>）</w:t>
            </w:r>
          </w:p>
        </w:tc>
      </w:tr>
      <w:tr w14:paraId="07AC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458A5">
            <w:pPr>
              <w:pStyle w:val="258"/>
              <w:bidi w:val="0"/>
              <w:rPr>
                <w:rFonts w:hint="eastAsia"/>
                <w:color w:val="auto"/>
                <w:sz w:val="18"/>
                <w:szCs w:val="18"/>
                <w:lang w:val="en-US" w:eastAsia="zh-CN"/>
              </w:rPr>
            </w:pPr>
            <w:r>
              <w:rPr>
                <w:rFonts w:hint="eastAsia" w:ascii="黑体" w:hAnsi="黑体" w:eastAsia="黑体" w:cs="黑体"/>
                <w:color w:val="auto"/>
                <w:sz w:val="18"/>
                <w:szCs w:val="18"/>
                <w:lang w:val="en-US" w:eastAsia="zh-CN"/>
              </w:rPr>
              <w:t>注1：</w:t>
            </w:r>
            <w:r>
              <w:rPr>
                <w:rFonts w:hint="eastAsia" w:ascii="宋体" w:hAnsi="宋体" w:eastAsia="宋体" w:cs="宋体"/>
                <w:i w:val="0"/>
                <w:iCs w:val="0"/>
                <w:color w:val="auto"/>
                <w:sz w:val="18"/>
                <w:szCs w:val="18"/>
                <w:u w:val="none"/>
                <w:lang w:val="en-US" w:eastAsia="zh-CN"/>
              </w:rPr>
              <w:t>项目负责人</w:t>
            </w:r>
            <w:r>
              <w:rPr>
                <w:rFonts w:hint="eastAsia"/>
                <w:color w:val="auto"/>
                <w:sz w:val="18"/>
                <w:szCs w:val="18"/>
                <w:lang w:val="en-US" w:eastAsia="zh-CN"/>
              </w:rPr>
              <w:t>资质要求，需同时具备</w:t>
            </w:r>
            <w:r>
              <w:rPr>
                <w:rFonts w:hint="eastAsia" w:ascii="宋体" w:hAnsi="宋体" w:eastAsia="宋体" w:cs="宋体"/>
                <w:i w:val="0"/>
                <w:iCs w:val="0"/>
                <w:color w:val="auto"/>
                <w:sz w:val="18"/>
                <w:szCs w:val="18"/>
                <w:u w:val="none"/>
                <w:lang w:val="en-US" w:eastAsia="zh-CN"/>
              </w:rPr>
              <w:t>注册消防工程师</w:t>
            </w:r>
            <w:r>
              <w:rPr>
                <w:rFonts w:hint="eastAsia" w:hAnsi="宋体" w:cs="宋体"/>
                <w:i w:val="0"/>
                <w:iCs w:val="0"/>
                <w:color w:val="auto"/>
                <w:sz w:val="18"/>
                <w:szCs w:val="18"/>
                <w:u w:val="none"/>
                <w:lang w:val="en-US" w:eastAsia="zh-CN"/>
              </w:rPr>
              <w:t>和</w:t>
            </w:r>
            <w:r>
              <w:rPr>
                <w:rFonts w:hint="eastAsia" w:ascii="宋体" w:hAnsi="宋体" w:eastAsia="宋体" w:cs="宋体"/>
                <w:i w:val="0"/>
                <w:iCs w:val="0"/>
                <w:color w:val="auto"/>
                <w:sz w:val="18"/>
                <w:szCs w:val="18"/>
                <w:u w:val="none"/>
                <w:lang w:val="en-US" w:eastAsia="zh-CN"/>
              </w:rPr>
              <w:t>高</w:t>
            </w:r>
            <w:r>
              <w:rPr>
                <w:rFonts w:hint="eastAsia"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低压电工证</w:t>
            </w:r>
            <w:r>
              <w:rPr>
                <w:rFonts w:hint="eastAsia" w:hAnsi="宋体" w:cs="宋体"/>
                <w:i w:val="0"/>
                <w:iCs w:val="0"/>
                <w:color w:val="auto"/>
                <w:sz w:val="18"/>
                <w:szCs w:val="18"/>
                <w:u w:val="none"/>
                <w:lang w:val="en-US" w:eastAsia="zh-CN"/>
              </w:rPr>
              <w:t>，或者</w:t>
            </w:r>
            <w:r>
              <w:rPr>
                <w:rFonts w:hint="eastAsia"/>
                <w:color w:val="auto"/>
                <w:sz w:val="18"/>
                <w:szCs w:val="18"/>
                <w:lang w:val="en-US" w:eastAsia="zh-CN"/>
              </w:rPr>
              <w:t>同时具备</w:t>
            </w:r>
            <w:r>
              <w:rPr>
                <w:rFonts w:hint="eastAsia" w:ascii="宋体" w:hAnsi="宋体" w:eastAsia="宋体" w:cs="宋体"/>
                <w:i w:val="0"/>
                <w:iCs w:val="0"/>
                <w:color w:val="auto"/>
                <w:sz w:val="18"/>
                <w:szCs w:val="18"/>
                <w:u w:val="none"/>
                <w:lang w:val="en-US" w:eastAsia="zh-CN"/>
              </w:rPr>
              <w:t>注册消防工程师</w:t>
            </w:r>
            <w:r>
              <w:rPr>
                <w:rFonts w:hint="eastAsia" w:hAnsi="宋体" w:cs="宋体"/>
                <w:i w:val="0"/>
                <w:iCs w:val="0"/>
                <w:color w:val="auto"/>
                <w:sz w:val="18"/>
                <w:szCs w:val="18"/>
                <w:u w:val="none"/>
                <w:lang w:val="en-US" w:eastAsia="zh-CN"/>
              </w:rPr>
              <w:t>和</w:t>
            </w:r>
            <w:r>
              <w:rPr>
                <w:rFonts w:hint="eastAsia" w:ascii="宋体" w:hAnsi="宋体" w:eastAsia="宋体" w:cs="宋体"/>
                <w:i w:val="0"/>
                <w:iCs w:val="0"/>
                <w:color w:val="auto"/>
                <w:sz w:val="18"/>
                <w:szCs w:val="18"/>
                <w:u w:val="none"/>
                <w:lang w:val="en-US" w:eastAsia="zh-CN"/>
              </w:rPr>
              <w:t>电气试验证</w:t>
            </w:r>
            <w:r>
              <w:rPr>
                <w:rFonts w:hint="eastAsia"/>
                <w:color w:val="auto"/>
                <w:sz w:val="18"/>
                <w:szCs w:val="18"/>
                <w:lang w:val="en-US" w:eastAsia="zh-CN"/>
              </w:rPr>
              <w:t>。</w:t>
            </w:r>
          </w:p>
          <w:p w14:paraId="274F5ED0">
            <w:pPr>
              <w:pStyle w:val="258"/>
              <w:bidi w:val="0"/>
              <w:rPr>
                <w:rFonts w:hint="eastAsia"/>
                <w:color w:val="auto"/>
                <w:sz w:val="18"/>
                <w:szCs w:val="18"/>
                <w:lang w:val="en-US" w:eastAsia="zh-CN"/>
              </w:rPr>
            </w:pPr>
            <w:r>
              <w:rPr>
                <w:rFonts w:hint="eastAsia" w:ascii="黑体" w:hAnsi="黑体" w:eastAsia="黑体" w:cs="黑体"/>
                <w:color w:val="auto"/>
                <w:sz w:val="18"/>
                <w:szCs w:val="18"/>
                <w:lang w:val="en-US" w:eastAsia="zh-CN"/>
              </w:rPr>
              <w:t>注2：</w:t>
            </w:r>
            <w:r>
              <w:rPr>
                <w:rFonts w:hint="eastAsia" w:ascii="宋体" w:hAnsi="宋体" w:cs="宋体"/>
                <w:i w:val="0"/>
                <w:iCs w:val="0"/>
                <w:color w:val="auto"/>
                <w:sz w:val="18"/>
                <w:szCs w:val="18"/>
                <w:u w:val="none"/>
                <w:lang w:val="en-US" w:eastAsia="zh-CN"/>
              </w:rPr>
              <w:t>电气相关专业</w:t>
            </w:r>
            <w:r>
              <w:rPr>
                <w:rFonts w:hint="eastAsia" w:hAnsi="宋体" w:cs="宋体"/>
                <w:i w:val="0"/>
                <w:iCs w:val="0"/>
                <w:color w:val="auto"/>
                <w:sz w:val="18"/>
                <w:szCs w:val="18"/>
                <w:u w:val="none"/>
                <w:lang w:val="en-US" w:eastAsia="zh-CN"/>
              </w:rPr>
              <w:t>：电气、电力、机电一体化、机电工程、自动化、自动化控制等。</w:t>
            </w:r>
          </w:p>
          <w:p w14:paraId="38A0FC6D">
            <w:pPr>
              <w:pStyle w:val="258"/>
              <w:bidi w:val="0"/>
              <w:rPr>
                <w:rFonts w:hint="default"/>
                <w:color w:val="auto"/>
                <w:sz w:val="18"/>
                <w:szCs w:val="18"/>
                <w:lang w:val="en-US" w:eastAsia="zh-CN"/>
              </w:rPr>
            </w:pPr>
            <w:r>
              <w:rPr>
                <w:rFonts w:hint="eastAsia" w:ascii="黑体" w:hAnsi="黑体" w:eastAsia="黑体" w:cs="黑体"/>
                <w:color w:val="auto"/>
                <w:sz w:val="18"/>
                <w:szCs w:val="18"/>
                <w:lang w:val="en-US" w:eastAsia="zh-CN"/>
              </w:rPr>
              <w:t>注3：</w:t>
            </w:r>
            <w:r>
              <w:rPr>
                <w:rFonts w:hint="eastAsia"/>
                <w:color w:val="auto"/>
                <w:sz w:val="18"/>
                <w:szCs w:val="18"/>
                <w:lang w:val="en-US" w:eastAsia="zh-CN"/>
              </w:rPr>
              <w:t>检测员配置不少于2人，检测员需同时具备</w:t>
            </w:r>
            <w:r>
              <w:rPr>
                <w:rFonts w:hint="eastAsia" w:ascii="宋体" w:hAnsi="宋体" w:eastAsia="宋体" w:cs="宋体"/>
                <w:i w:val="0"/>
                <w:iCs w:val="0"/>
                <w:color w:val="auto"/>
                <w:sz w:val="18"/>
                <w:szCs w:val="18"/>
                <w:u w:val="none"/>
                <w:lang w:val="en-US" w:eastAsia="zh-CN"/>
              </w:rPr>
              <w:t>消防设施操作员证</w:t>
            </w:r>
            <w:r>
              <w:rPr>
                <w:rFonts w:hint="eastAsia" w:hAnsi="宋体" w:cs="宋体"/>
                <w:i w:val="0"/>
                <w:iCs w:val="0"/>
                <w:color w:val="auto"/>
                <w:sz w:val="18"/>
                <w:szCs w:val="18"/>
                <w:u w:val="none"/>
                <w:lang w:val="en-US" w:eastAsia="zh-CN"/>
              </w:rPr>
              <w:t>（含建(构)筑物消防员证书）和电工</w:t>
            </w:r>
            <w:r>
              <w:rPr>
                <w:rFonts w:hint="eastAsia" w:ascii="宋体" w:hAnsi="宋体" w:eastAsia="宋体" w:cs="宋体"/>
                <w:i w:val="0"/>
                <w:iCs w:val="0"/>
                <w:color w:val="auto"/>
                <w:sz w:val="18"/>
                <w:szCs w:val="18"/>
                <w:u w:val="none"/>
                <w:lang w:val="en-US" w:eastAsia="zh-CN"/>
              </w:rPr>
              <w:t>证</w:t>
            </w:r>
            <w:r>
              <w:rPr>
                <w:rFonts w:hint="eastAsia" w:hAnsi="宋体" w:cs="宋体"/>
                <w:i w:val="0"/>
                <w:iCs w:val="0"/>
                <w:color w:val="auto"/>
                <w:sz w:val="18"/>
                <w:szCs w:val="18"/>
                <w:u w:val="none"/>
                <w:lang w:val="en-US" w:eastAsia="zh-CN"/>
              </w:rPr>
              <w:t>（高压电工</w:t>
            </w:r>
            <w:r>
              <w:rPr>
                <w:rFonts w:hint="eastAsia" w:ascii="宋体" w:hAnsi="宋体" w:eastAsia="宋体" w:cs="宋体"/>
                <w:i w:val="0"/>
                <w:iCs w:val="0"/>
                <w:color w:val="auto"/>
                <w:sz w:val="18"/>
                <w:szCs w:val="18"/>
                <w:u w:val="none"/>
                <w:lang w:val="en-US" w:eastAsia="zh-CN"/>
              </w:rPr>
              <w:t>证</w:t>
            </w:r>
            <w:r>
              <w:rPr>
                <w:rFonts w:hint="eastAsia" w:hAnsi="宋体" w:cs="宋体"/>
                <w:i w:val="0"/>
                <w:iCs w:val="0"/>
                <w:color w:val="auto"/>
                <w:sz w:val="18"/>
                <w:szCs w:val="18"/>
                <w:u w:val="none"/>
                <w:lang w:val="en-US" w:eastAsia="zh-CN"/>
              </w:rPr>
              <w:t>和</w:t>
            </w:r>
            <w:r>
              <w:rPr>
                <w:rFonts w:hint="eastAsia" w:ascii="宋体" w:hAnsi="宋体" w:eastAsia="宋体" w:cs="宋体"/>
                <w:i w:val="0"/>
                <w:iCs w:val="0"/>
                <w:color w:val="auto"/>
                <w:sz w:val="18"/>
                <w:szCs w:val="18"/>
                <w:u w:val="none"/>
                <w:lang w:val="en-US" w:eastAsia="zh-CN"/>
              </w:rPr>
              <w:t>低压电工证</w:t>
            </w:r>
            <w:r>
              <w:rPr>
                <w:rFonts w:hint="eastAsia" w:hAnsi="宋体" w:cs="宋体"/>
                <w:i w:val="0"/>
                <w:iCs w:val="0"/>
                <w:color w:val="auto"/>
                <w:sz w:val="18"/>
                <w:szCs w:val="18"/>
                <w:u w:val="none"/>
                <w:lang w:val="en-US" w:eastAsia="zh-CN"/>
              </w:rPr>
              <w:t>各不少于1人，电气试验证持证人员，视为具备高压和低压作业资质）。</w:t>
            </w:r>
          </w:p>
        </w:tc>
      </w:tr>
    </w:tbl>
    <w:p w14:paraId="52661EB5">
      <w:pPr>
        <w:pStyle w:val="258"/>
        <w:bidi w:val="0"/>
        <w:rPr>
          <w:rFonts w:hint="eastAsia"/>
          <w:color w:val="auto"/>
          <w:sz w:val="18"/>
          <w:szCs w:val="18"/>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712AD4EC">
      <w:pPr>
        <w:pStyle w:val="347"/>
        <w:bidi w:val="0"/>
        <w:ind w:left="0" w:leftChars="0" w:firstLine="0" w:firstLineChars="0"/>
        <w:rPr>
          <w:rFonts w:hint="eastAsia"/>
          <w:color w:val="auto"/>
          <w:lang w:val="en-US" w:eastAsia="zh-CN"/>
        </w:rPr>
      </w:pPr>
    </w:p>
    <w:p w14:paraId="1060065A">
      <w:pPr>
        <w:pStyle w:val="348"/>
        <w:bidi w:val="0"/>
        <w:ind w:left="0" w:leftChars="0" w:firstLine="0" w:firstLineChars="0"/>
        <w:rPr>
          <w:rFonts w:hint="eastAsia"/>
          <w:color w:val="auto"/>
          <w:lang w:val="en-US" w:eastAsia="zh-CN"/>
        </w:rPr>
      </w:pPr>
    </w:p>
    <w:p w14:paraId="3FB42655">
      <w:pPr>
        <w:pStyle w:val="274"/>
        <w:bidi w:val="0"/>
        <w:jc w:val="center"/>
        <w:rPr>
          <w:rFonts w:hint="eastAsia"/>
          <w:color w:val="auto"/>
          <w:lang w:val="en-US" w:eastAsia="zh-CN"/>
        </w:rPr>
      </w:pPr>
      <w:bookmarkStart w:id="601" w:name="_Toc23242"/>
      <w:r>
        <w:rPr>
          <w:rFonts w:hint="eastAsia"/>
          <w:color w:val="auto"/>
          <w:lang w:val="en-US" w:eastAsia="zh-CN"/>
        </w:rPr>
        <w:br w:type="textWrapping"/>
      </w:r>
      <w:r>
        <w:rPr>
          <w:rFonts w:hint="eastAsia"/>
          <w:color w:val="auto"/>
          <w:lang w:val="en-US" w:eastAsia="zh-CN"/>
        </w:rPr>
        <w:t>（规范性）</w:t>
      </w:r>
      <w:r>
        <w:rPr>
          <w:rFonts w:hint="eastAsia"/>
          <w:color w:val="auto"/>
          <w:lang w:val="en-US" w:eastAsia="zh-CN"/>
        </w:rPr>
        <w:br w:type="textWrapping"/>
      </w:r>
      <w:r>
        <w:rPr>
          <w:rFonts w:hint="eastAsia"/>
          <w:color w:val="auto"/>
          <w:lang w:val="en-US" w:eastAsia="zh-CN"/>
        </w:rPr>
        <w:t>IP防护等级划分</w:t>
      </w:r>
      <w:bookmarkEnd w:id="579"/>
      <w:bookmarkEnd w:id="580"/>
      <w:bookmarkEnd w:id="581"/>
      <w:bookmarkEnd w:id="601"/>
    </w:p>
    <w:p w14:paraId="13E80EB9">
      <w:pPr>
        <w:spacing w:before="69" w:line="257" w:lineRule="auto"/>
        <w:ind w:left="125" w:right="40" w:firstLine="432"/>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IP防护等级系统将</w:t>
      </w:r>
      <w:r>
        <w:rPr>
          <w:rFonts w:hint="eastAsia" w:ascii="宋体" w:hAnsi="宋体" w:cs="宋体"/>
          <w:color w:val="auto"/>
          <w:spacing w:val="-3"/>
          <w:sz w:val="21"/>
          <w:szCs w:val="21"/>
          <w:lang w:val="en-US" w:eastAsia="zh-CN"/>
        </w:rPr>
        <w:t>外壳</w:t>
      </w:r>
      <w:r>
        <w:rPr>
          <w:rFonts w:hint="eastAsia" w:ascii="宋体" w:hAnsi="宋体" w:eastAsia="宋体" w:cs="宋体"/>
          <w:color w:val="auto"/>
          <w:spacing w:val="-3"/>
          <w:sz w:val="21"/>
          <w:szCs w:val="21"/>
        </w:rPr>
        <w:t xml:space="preserve">依其防尘防湿特性分级，由字母IP及二位标示数字组成，第一位数字表示防 </w:t>
      </w:r>
      <w:r>
        <w:rPr>
          <w:rFonts w:hint="eastAsia" w:ascii="宋体" w:hAnsi="宋体" w:eastAsia="宋体" w:cs="宋体"/>
          <w:color w:val="auto"/>
          <w:spacing w:val="-5"/>
          <w:sz w:val="21"/>
          <w:szCs w:val="21"/>
        </w:rPr>
        <w:t>固体异物进入的等级，第二位数字表示防水进入的密闭程度。二位标示数字表示的防护等级分别如表</w:t>
      </w:r>
      <w:r>
        <w:rPr>
          <w:rFonts w:hint="eastAsia" w:ascii="宋体" w:hAnsi="宋体" w:cs="宋体"/>
          <w:color w:val="auto"/>
          <w:spacing w:val="-5"/>
          <w:sz w:val="21"/>
          <w:szCs w:val="21"/>
          <w:lang w:val="en-US" w:eastAsia="zh-CN"/>
        </w:rPr>
        <w:t>B</w:t>
      </w:r>
      <w:r>
        <w:rPr>
          <w:rFonts w:hint="eastAsia" w:ascii="宋体" w:hAnsi="宋体" w:eastAsia="宋体" w:cs="宋体"/>
          <w:color w:val="auto"/>
          <w:spacing w:val="-5"/>
          <w:sz w:val="21"/>
          <w:szCs w:val="21"/>
          <w:lang w:val="en-US" w:eastAsia="zh-CN"/>
        </w:rPr>
        <w:t>.</w:t>
      </w:r>
      <w:r>
        <w:rPr>
          <w:rFonts w:hint="eastAsia" w:ascii="宋体" w:hAnsi="宋体" w:eastAsia="宋体" w:cs="宋体"/>
          <w:color w:val="auto"/>
          <w:spacing w:val="-5"/>
          <w:sz w:val="21"/>
          <w:szCs w:val="21"/>
        </w:rPr>
        <w:t>1、</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表</w:t>
      </w:r>
      <w:r>
        <w:rPr>
          <w:rFonts w:hint="eastAsia" w:ascii="宋体" w:hAnsi="宋体" w:cs="宋体"/>
          <w:color w:val="auto"/>
          <w:spacing w:val="-4"/>
          <w:sz w:val="21"/>
          <w:szCs w:val="21"/>
          <w:lang w:val="en-US" w:eastAsia="zh-CN"/>
        </w:rPr>
        <w:t>B</w:t>
      </w:r>
      <w:r>
        <w:rPr>
          <w:rFonts w:hint="eastAsia" w:ascii="宋体" w:hAnsi="宋体" w:eastAsia="宋体" w:cs="宋体"/>
          <w:color w:val="auto"/>
          <w:spacing w:val="-4"/>
          <w:sz w:val="21"/>
          <w:szCs w:val="21"/>
          <w:lang w:val="en-US" w:eastAsia="zh-CN"/>
        </w:rPr>
        <w:t>.</w:t>
      </w:r>
      <w:r>
        <w:rPr>
          <w:rFonts w:hint="eastAsia" w:ascii="宋体" w:hAnsi="宋体" w:eastAsia="宋体" w:cs="宋体"/>
          <w:color w:val="auto"/>
          <w:spacing w:val="-4"/>
          <w:sz w:val="21"/>
          <w:szCs w:val="21"/>
        </w:rPr>
        <w:t>2所示。</w:t>
      </w:r>
    </w:p>
    <w:p w14:paraId="3194DD3F">
      <w:pPr>
        <w:pStyle w:val="275"/>
        <w:bidi w:val="0"/>
        <w:ind w:left="0" w:leftChars="0" w:firstLine="0" w:firstLineChars="0"/>
        <w:rPr>
          <w:color w:val="auto"/>
        </w:rPr>
      </w:pPr>
      <w:bookmarkStart w:id="602" w:name="_Toc21102"/>
      <w:bookmarkStart w:id="603" w:name="_Toc1332"/>
      <w:bookmarkStart w:id="604" w:name="_Toc870"/>
      <w:r>
        <w:rPr>
          <w:rFonts w:hint="eastAsia"/>
          <w:color w:val="auto"/>
        </w:rPr>
        <w:t>防固体异物进入（第一位数字）</w:t>
      </w:r>
      <w:bookmarkEnd w:id="602"/>
      <w:bookmarkEnd w:id="603"/>
      <w:bookmarkEnd w:id="604"/>
    </w:p>
    <w:tbl>
      <w:tblPr>
        <w:tblStyle w:val="531"/>
        <w:tblW w:w="95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783"/>
        <w:gridCol w:w="6524"/>
      </w:tblGrid>
      <w:tr w14:paraId="48F8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bottom w:val="single" w:color="000000" w:sz="6" w:space="0"/>
            </w:tcBorders>
            <w:vAlign w:val="center"/>
          </w:tcPr>
          <w:p w14:paraId="37BFB258">
            <w:pPr>
              <w:pStyle w:val="530"/>
              <w:keepNext w:val="0"/>
              <w:keepLines w:val="0"/>
              <w:pageBreakBefore w:val="0"/>
              <w:widowControl w:val="0"/>
              <w:kinsoku/>
              <w:wordWrap/>
              <w:overflowPunct/>
              <w:topLinePunct w:val="0"/>
              <w:autoSpaceDE/>
              <w:autoSpaceDN/>
              <w:bidi w:val="0"/>
              <w:adjustRightInd/>
              <w:snapToGrid/>
              <w:spacing w:line="240" w:lineRule="auto"/>
              <w:ind w:left="284"/>
              <w:jc w:val="both"/>
              <w:textAlignment w:val="auto"/>
              <w:rPr>
                <w:color w:val="auto"/>
                <w:sz w:val="18"/>
                <w:szCs w:val="18"/>
              </w:rPr>
            </w:pPr>
            <w:r>
              <w:rPr>
                <w:color w:val="auto"/>
                <w:spacing w:val="-5"/>
                <w:sz w:val="18"/>
                <w:szCs w:val="18"/>
              </w:rPr>
              <w:t>防护等级</w:t>
            </w:r>
          </w:p>
        </w:tc>
        <w:tc>
          <w:tcPr>
            <w:tcW w:w="1783" w:type="dxa"/>
            <w:tcBorders>
              <w:top w:val="single" w:color="000000" w:sz="6" w:space="0"/>
              <w:bottom w:val="single" w:color="000000" w:sz="6" w:space="0"/>
            </w:tcBorders>
            <w:vAlign w:val="center"/>
          </w:tcPr>
          <w:p w14:paraId="7C5CB6FE">
            <w:pPr>
              <w:pStyle w:val="530"/>
              <w:keepNext w:val="0"/>
              <w:keepLines w:val="0"/>
              <w:pageBreakBefore w:val="0"/>
              <w:widowControl w:val="0"/>
              <w:kinsoku/>
              <w:wordWrap/>
              <w:overflowPunct/>
              <w:topLinePunct w:val="0"/>
              <w:autoSpaceDE/>
              <w:autoSpaceDN/>
              <w:bidi w:val="0"/>
              <w:adjustRightInd/>
              <w:snapToGrid/>
              <w:spacing w:line="240" w:lineRule="auto"/>
              <w:ind w:left="108"/>
              <w:jc w:val="center"/>
              <w:textAlignment w:val="auto"/>
              <w:rPr>
                <w:color w:val="auto"/>
                <w:sz w:val="18"/>
                <w:szCs w:val="18"/>
              </w:rPr>
            </w:pPr>
            <w:r>
              <w:rPr>
                <w:color w:val="auto"/>
                <w:spacing w:val="-2"/>
                <w:sz w:val="18"/>
                <w:szCs w:val="18"/>
              </w:rPr>
              <w:t>技术要求</w:t>
            </w:r>
          </w:p>
        </w:tc>
        <w:tc>
          <w:tcPr>
            <w:tcW w:w="6524" w:type="dxa"/>
            <w:tcBorders>
              <w:top w:val="single" w:color="000000" w:sz="6" w:space="0"/>
              <w:bottom w:val="single" w:color="000000" w:sz="6" w:space="0"/>
              <w:right w:val="single" w:color="000000" w:sz="6" w:space="0"/>
            </w:tcBorders>
            <w:vAlign w:val="center"/>
          </w:tcPr>
          <w:p w14:paraId="051E2DD8">
            <w:pPr>
              <w:pStyle w:val="530"/>
              <w:keepNext w:val="0"/>
              <w:keepLines w:val="0"/>
              <w:pageBreakBefore w:val="0"/>
              <w:widowControl w:val="0"/>
              <w:kinsoku/>
              <w:wordWrap/>
              <w:overflowPunct/>
              <w:topLinePunct w:val="0"/>
              <w:autoSpaceDE/>
              <w:autoSpaceDN/>
              <w:bidi w:val="0"/>
              <w:adjustRightInd/>
              <w:snapToGrid/>
              <w:spacing w:line="240" w:lineRule="auto"/>
              <w:ind w:left="3084"/>
              <w:jc w:val="both"/>
              <w:textAlignment w:val="auto"/>
              <w:rPr>
                <w:color w:val="auto"/>
                <w:sz w:val="18"/>
                <w:szCs w:val="18"/>
              </w:rPr>
            </w:pPr>
            <w:r>
              <w:rPr>
                <w:color w:val="auto"/>
                <w:spacing w:val="-2"/>
                <w:sz w:val="18"/>
                <w:szCs w:val="18"/>
              </w:rPr>
              <w:t>概述</w:t>
            </w:r>
          </w:p>
        </w:tc>
      </w:tr>
      <w:tr w14:paraId="6BE9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tcBorders>
            <w:vAlign w:val="center"/>
          </w:tcPr>
          <w:p w14:paraId="4EB29C29">
            <w:pPr>
              <w:pStyle w:val="530"/>
              <w:keepNext w:val="0"/>
              <w:keepLines w:val="0"/>
              <w:pageBreakBefore w:val="0"/>
              <w:widowControl w:val="0"/>
              <w:kinsoku/>
              <w:wordWrap/>
              <w:overflowPunct/>
              <w:topLinePunct w:val="0"/>
              <w:autoSpaceDE/>
              <w:autoSpaceDN/>
              <w:bidi w:val="0"/>
              <w:adjustRightInd/>
              <w:snapToGrid/>
              <w:spacing w:before="89" w:line="240" w:lineRule="auto"/>
              <w:ind w:left="0"/>
              <w:jc w:val="center"/>
              <w:textAlignment w:val="auto"/>
              <w:rPr>
                <w:color w:val="auto"/>
                <w:sz w:val="18"/>
                <w:szCs w:val="18"/>
              </w:rPr>
            </w:pPr>
            <w:r>
              <w:rPr>
                <w:color w:val="auto"/>
                <w:sz w:val="18"/>
                <w:szCs w:val="18"/>
              </w:rPr>
              <w:t>0</w:t>
            </w:r>
          </w:p>
        </w:tc>
        <w:tc>
          <w:tcPr>
            <w:tcW w:w="1783" w:type="dxa"/>
            <w:tcBorders>
              <w:top w:val="single" w:color="000000" w:sz="6" w:space="0"/>
            </w:tcBorders>
            <w:vAlign w:val="top"/>
          </w:tcPr>
          <w:p w14:paraId="07B6356E">
            <w:pPr>
              <w:pStyle w:val="530"/>
              <w:keepNext w:val="0"/>
              <w:keepLines w:val="0"/>
              <w:pageBreakBefore w:val="0"/>
              <w:widowControl w:val="0"/>
              <w:kinsoku/>
              <w:wordWrap/>
              <w:overflowPunct/>
              <w:topLinePunct w:val="0"/>
              <w:autoSpaceDE/>
              <w:autoSpaceDN/>
              <w:bidi w:val="0"/>
              <w:adjustRightInd/>
              <w:snapToGrid/>
              <w:spacing w:before="59" w:line="240" w:lineRule="auto"/>
              <w:ind w:left="0" w:right="0"/>
              <w:textAlignment w:val="auto"/>
              <w:rPr>
                <w:color w:val="auto"/>
                <w:sz w:val="18"/>
                <w:szCs w:val="18"/>
              </w:rPr>
            </w:pPr>
            <w:r>
              <w:rPr>
                <w:color w:val="auto"/>
                <w:spacing w:val="-2"/>
                <w:sz w:val="18"/>
                <w:szCs w:val="18"/>
              </w:rPr>
              <w:t>无防护</w:t>
            </w:r>
          </w:p>
        </w:tc>
        <w:tc>
          <w:tcPr>
            <w:tcW w:w="6524" w:type="dxa"/>
            <w:tcBorders>
              <w:top w:val="single" w:color="000000" w:sz="6" w:space="0"/>
              <w:right w:val="single" w:color="000000" w:sz="6" w:space="0"/>
            </w:tcBorders>
            <w:vAlign w:val="top"/>
          </w:tcPr>
          <w:p w14:paraId="295FCD44">
            <w:pPr>
              <w:pStyle w:val="530"/>
              <w:keepNext w:val="0"/>
              <w:keepLines w:val="0"/>
              <w:pageBreakBefore w:val="0"/>
              <w:widowControl w:val="0"/>
              <w:kinsoku/>
              <w:wordWrap/>
              <w:overflowPunct/>
              <w:topLinePunct w:val="0"/>
              <w:autoSpaceDE/>
              <w:autoSpaceDN/>
              <w:bidi w:val="0"/>
              <w:adjustRightInd/>
              <w:snapToGrid/>
              <w:spacing w:before="59" w:line="240" w:lineRule="auto"/>
              <w:ind w:left="0"/>
              <w:textAlignment w:val="auto"/>
              <w:rPr>
                <w:color w:val="auto"/>
                <w:sz w:val="18"/>
                <w:szCs w:val="18"/>
              </w:rPr>
            </w:pPr>
            <w:r>
              <w:rPr>
                <w:color w:val="auto"/>
                <w:spacing w:val="-4"/>
                <w:sz w:val="18"/>
                <w:szCs w:val="18"/>
              </w:rPr>
              <w:t>不要求专用的防护。</w:t>
            </w:r>
          </w:p>
        </w:tc>
      </w:tr>
      <w:tr w14:paraId="11A0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14:paraId="7B4EF8FA">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1</w:t>
            </w:r>
          </w:p>
        </w:tc>
        <w:tc>
          <w:tcPr>
            <w:tcW w:w="1783" w:type="dxa"/>
            <w:vAlign w:val="top"/>
          </w:tcPr>
          <w:p w14:paraId="6857A9D4">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color w:val="auto"/>
                <w:sz w:val="18"/>
                <w:szCs w:val="18"/>
              </w:rPr>
            </w:pPr>
            <w:r>
              <w:rPr>
                <w:rFonts w:hint="eastAsia"/>
                <w:color w:val="auto"/>
                <w:spacing w:val="-5"/>
                <w:sz w:val="18"/>
                <w:szCs w:val="18"/>
              </w:rPr>
              <w:t>防止直径不小于50mm的固体异物</w:t>
            </w:r>
          </w:p>
        </w:tc>
        <w:tc>
          <w:tcPr>
            <w:tcW w:w="6524" w:type="dxa"/>
            <w:tcBorders>
              <w:right w:val="single" w:color="000000" w:sz="6" w:space="0"/>
            </w:tcBorders>
            <w:vAlign w:val="top"/>
          </w:tcPr>
          <w:p w14:paraId="491AC88F">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color w:val="auto"/>
                <w:sz w:val="18"/>
                <w:szCs w:val="18"/>
                <w:lang w:val="en-US" w:eastAsia="zh-CN"/>
              </w:rPr>
            </w:pPr>
            <w:r>
              <w:rPr>
                <w:rFonts w:hint="eastAsia"/>
                <w:color w:val="auto"/>
                <w:sz w:val="18"/>
                <w:szCs w:val="18"/>
              </w:rPr>
              <w:t>直径50mm球形物体试具不得完全进入壳内</w:t>
            </w:r>
            <w:r>
              <w:rPr>
                <w:rFonts w:hint="eastAsia"/>
                <w:color w:val="auto"/>
                <w:sz w:val="18"/>
                <w:szCs w:val="18"/>
                <w:lang w:eastAsia="zh-CN"/>
              </w:rPr>
              <w:t>。</w:t>
            </w:r>
          </w:p>
        </w:tc>
      </w:tr>
      <w:tr w14:paraId="078ED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14:paraId="443C3299">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2</w:t>
            </w:r>
          </w:p>
        </w:tc>
        <w:tc>
          <w:tcPr>
            <w:tcW w:w="1783" w:type="dxa"/>
            <w:vAlign w:val="top"/>
          </w:tcPr>
          <w:p w14:paraId="3F552C0C">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color w:val="auto"/>
                <w:sz w:val="18"/>
                <w:szCs w:val="18"/>
              </w:rPr>
            </w:pPr>
            <w:r>
              <w:rPr>
                <w:rFonts w:hint="eastAsia"/>
                <w:color w:val="auto"/>
                <w:spacing w:val="-6"/>
                <w:sz w:val="18"/>
                <w:szCs w:val="18"/>
              </w:rPr>
              <w:t>防止直径不小于12.5 mm的固体异物</w:t>
            </w:r>
          </w:p>
        </w:tc>
        <w:tc>
          <w:tcPr>
            <w:tcW w:w="6524" w:type="dxa"/>
            <w:tcBorders>
              <w:right w:val="single" w:color="000000" w:sz="6" w:space="0"/>
            </w:tcBorders>
            <w:vAlign w:val="top"/>
          </w:tcPr>
          <w:p w14:paraId="1A39F81F">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color w:val="auto"/>
                <w:sz w:val="18"/>
                <w:szCs w:val="18"/>
                <w:lang w:eastAsia="zh-CN"/>
              </w:rPr>
            </w:pPr>
            <w:r>
              <w:rPr>
                <w:rFonts w:hint="eastAsia"/>
                <w:color w:val="auto"/>
                <w:spacing w:val="-5"/>
                <w:sz w:val="18"/>
                <w:szCs w:val="18"/>
              </w:rPr>
              <w:t>直径12.5 mm的球形物体试具不得完全进入壳内</w:t>
            </w:r>
            <w:r>
              <w:rPr>
                <w:rFonts w:hint="eastAsia"/>
                <w:color w:val="auto"/>
                <w:spacing w:val="-5"/>
                <w:sz w:val="18"/>
                <w:szCs w:val="18"/>
                <w:lang w:eastAsia="zh-CN"/>
              </w:rPr>
              <w:t>。</w:t>
            </w:r>
          </w:p>
        </w:tc>
      </w:tr>
      <w:tr w14:paraId="4536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14:paraId="44333BAE">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3</w:t>
            </w:r>
          </w:p>
        </w:tc>
        <w:tc>
          <w:tcPr>
            <w:tcW w:w="1783" w:type="dxa"/>
            <w:vAlign w:val="top"/>
          </w:tcPr>
          <w:p w14:paraId="56C285FC">
            <w:pPr>
              <w:pStyle w:val="530"/>
              <w:keepNext w:val="0"/>
              <w:keepLines w:val="0"/>
              <w:pageBreakBefore w:val="0"/>
              <w:widowControl w:val="0"/>
              <w:kinsoku/>
              <w:wordWrap/>
              <w:overflowPunct/>
              <w:topLinePunct w:val="0"/>
              <w:autoSpaceDE/>
              <w:autoSpaceDN/>
              <w:bidi w:val="0"/>
              <w:adjustRightInd/>
              <w:snapToGrid/>
              <w:spacing w:line="240" w:lineRule="auto"/>
              <w:ind w:left="0" w:right="0" w:hanging="4"/>
              <w:textAlignment w:val="auto"/>
              <w:rPr>
                <w:color w:val="auto"/>
                <w:sz w:val="18"/>
                <w:szCs w:val="18"/>
              </w:rPr>
            </w:pPr>
            <w:r>
              <w:rPr>
                <w:rFonts w:hint="eastAsia"/>
                <w:color w:val="auto"/>
                <w:spacing w:val="-3"/>
                <w:sz w:val="18"/>
                <w:szCs w:val="18"/>
              </w:rPr>
              <w:t>防止直径不小于2.5 mm的固体异物</w:t>
            </w:r>
          </w:p>
        </w:tc>
        <w:tc>
          <w:tcPr>
            <w:tcW w:w="6524" w:type="dxa"/>
            <w:tcBorders>
              <w:right w:val="single" w:color="000000" w:sz="6" w:space="0"/>
            </w:tcBorders>
            <w:vAlign w:val="top"/>
          </w:tcPr>
          <w:p w14:paraId="6BA090DF">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color w:val="auto"/>
                <w:sz w:val="18"/>
                <w:szCs w:val="18"/>
                <w:lang w:eastAsia="zh-CN"/>
              </w:rPr>
            </w:pPr>
            <w:r>
              <w:rPr>
                <w:rFonts w:hint="eastAsia"/>
                <w:color w:val="auto"/>
                <w:spacing w:val="-4"/>
                <w:sz w:val="18"/>
                <w:szCs w:val="18"/>
              </w:rPr>
              <w:t>直径2.5 mm的物体试具完全不得进入壳内</w:t>
            </w:r>
            <w:r>
              <w:rPr>
                <w:rFonts w:hint="eastAsia"/>
                <w:color w:val="auto"/>
                <w:spacing w:val="-4"/>
                <w:sz w:val="18"/>
                <w:szCs w:val="18"/>
                <w:lang w:eastAsia="zh-CN"/>
              </w:rPr>
              <w:t>。</w:t>
            </w:r>
          </w:p>
        </w:tc>
      </w:tr>
      <w:tr w14:paraId="4EA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14:paraId="62390040">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4</w:t>
            </w:r>
          </w:p>
        </w:tc>
        <w:tc>
          <w:tcPr>
            <w:tcW w:w="1783" w:type="dxa"/>
            <w:vAlign w:val="top"/>
          </w:tcPr>
          <w:p w14:paraId="1FEC09EE">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color w:val="auto"/>
                <w:sz w:val="18"/>
                <w:szCs w:val="18"/>
              </w:rPr>
            </w:pPr>
            <w:r>
              <w:rPr>
                <w:rFonts w:hint="eastAsia"/>
                <w:color w:val="auto"/>
                <w:spacing w:val="-4"/>
                <w:sz w:val="18"/>
                <w:szCs w:val="18"/>
              </w:rPr>
              <w:t>防止直径不小于1.0mm的体异物</w:t>
            </w:r>
          </w:p>
        </w:tc>
        <w:tc>
          <w:tcPr>
            <w:tcW w:w="6524" w:type="dxa"/>
            <w:tcBorders>
              <w:right w:val="single" w:color="000000" w:sz="6" w:space="0"/>
            </w:tcBorders>
            <w:vAlign w:val="top"/>
          </w:tcPr>
          <w:p w14:paraId="11A014F9">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color w:val="auto"/>
                <w:sz w:val="18"/>
                <w:szCs w:val="18"/>
                <w:lang w:eastAsia="zh-CN"/>
              </w:rPr>
            </w:pPr>
            <w:r>
              <w:rPr>
                <w:rFonts w:hint="eastAsia"/>
                <w:color w:val="auto"/>
                <w:spacing w:val="-5"/>
                <w:sz w:val="18"/>
                <w:szCs w:val="18"/>
              </w:rPr>
              <w:t>直径1.0 mm的物体试具完全不得进人壳内</w:t>
            </w:r>
            <w:r>
              <w:rPr>
                <w:rFonts w:hint="eastAsia"/>
                <w:color w:val="auto"/>
                <w:spacing w:val="-5"/>
                <w:sz w:val="18"/>
                <w:szCs w:val="18"/>
                <w:lang w:eastAsia="zh-CN"/>
              </w:rPr>
              <w:t>。</w:t>
            </w:r>
          </w:p>
        </w:tc>
      </w:tr>
      <w:tr w14:paraId="5958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bottom w:val="single" w:color="000000" w:sz="6" w:space="0"/>
            </w:tcBorders>
            <w:vAlign w:val="center"/>
          </w:tcPr>
          <w:p w14:paraId="047D1316">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5</w:t>
            </w:r>
          </w:p>
        </w:tc>
        <w:tc>
          <w:tcPr>
            <w:tcW w:w="1783" w:type="dxa"/>
            <w:tcBorders>
              <w:bottom w:val="single" w:color="000000" w:sz="6" w:space="0"/>
            </w:tcBorders>
            <w:vAlign w:val="top"/>
          </w:tcPr>
          <w:p w14:paraId="515C8F9B">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color w:val="auto"/>
                <w:sz w:val="18"/>
                <w:szCs w:val="18"/>
              </w:rPr>
            </w:pPr>
            <w:r>
              <w:rPr>
                <w:color w:val="auto"/>
                <w:spacing w:val="-5"/>
                <w:sz w:val="18"/>
                <w:szCs w:val="18"/>
              </w:rPr>
              <w:t>防尘</w:t>
            </w:r>
          </w:p>
        </w:tc>
        <w:tc>
          <w:tcPr>
            <w:tcW w:w="6524" w:type="dxa"/>
            <w:tcBorders>
              <w:bottom w:val="single" w:color="000000" w:sz="6" w:space="0"/>
              <w:right w:val="single" w:color="000000" w:sz="6" w:space="0"/>
            </w:tcBorders>
            <w:vAlign w:val="top"/>
          </w:tcPr>
          <w:p w14:paraId="24542B22">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color w:val="auto"/>
                <w:sz w:val="18"/>
                <w:szCs w:val="18"/>
                <w:lang w:eastAsia="zh-CN"/>
              </w:rPr>
            </w:pPr>
            <w:r>
              <w:rPr>
                <w:rFonts w:hint="eastAsia"/>
                <w:color w:val="auto"/>
                <w:spacing w:val="-2"/>
                <w:sz w:val="18"/>
                <w:szCs w:val="18"/>
              </w:rPr>
              <w:t>不能完全防止尘埃进入，但进入的灰尘量不得影响设备的正常运行，不得影响安全</w:t>
            </w:r>
            <w:r>
              <w:rPr>
                <w:rFonts w:hint="eastAsia"/>
                <w:color w:val="auto"/>
                <w:spacing w:val="-2"/>
                <w:sz w:val="18"/>
                <w:szCs w:val="18"/>
                <w:lang w:eastAsia="zh-CN"/>
              </w:rPr>
              <w:t>。</w:t>
            </w:r>
          </w:p>
        </w:tc>
      </w:tr>
      <w:tr w14:paraId="70A9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bottom w:val="single" w:color="000000" w:sz="6" w:space="0"/>
            </w:tcBorders>
            <w:vAlign w:val="center"/>
          </w:tcPr>
          <w:p w14:paraId="1E9E1441">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sz w:val="18"/>
                <w:szCs w:val="18"/>
              </w:rPr>
            </w:pPr>
            <w:r>
              <w:rPr>
                <w:color w:val="auto"/>
                <w:sz w:val="18"/>
                <w:szCs w:val="18"/>
              </w:rPr>
              <w:t>6</w:t>
            </w:r>
          </w:p>
        </w:tc>
        <w:tc>
          <w:tcPr>
            <w:tcW w:w="1783" w:type="dxa"/>
            <w:tcBorders>
              <w:top w:val="single" w:color="000000" w:sz="6" w:space="0"/>
              <w:bottom w:val="single" w:color="000000" w:sz="6" w:space="0"/>
            </w:tcBorders>
            <w:vAlign w:val="top"/>
          </w:tcPr>
          <w:p w14:paraId="406FD26F">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color w:val="auto"/>
                <w:sz w:val="18"/>
                <w:szCs w:val="18"/>
              </w:rPr>
            </w:pPr>
            <w:r>
              <w:rPr>
                <w:color w:val="auto"/>
                <w:spacing w:val="-3"/>
                <w:sz w:val="18"/>
                <w:szCs w:val="18"/>
              </w:rPr>
              <w:t>尘密</w:t>
            </w:r>
          </w:p>
        </w:tc>
        <w:tc>
          <w:tcPr>
            <w:tcW w:w="6524" w:type="dxa"/>
            <w:tcBorders>
              <w:top w:val="single" w:color="000000" w:sz="6" w:space="0"/>
              <w:bottom w:val="single" w:color="000000" w:sz="6" w:space="0"/>
              <w:right w:val="single" w:color="000000" w:sz="6" w:space="0"/>
            </w:tcBorders>
            <w:vAlign w:val="top"/>
          </w:tcPr>
          <w:p w14:paraId="2F6814AD">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color w:val="auto"/>
                <w:sz w:val="18"/>
                <w:szCs w:val="18"/>
              </w:rPr>
            </w:pPr>
            <w:r>
              <w:rPr>
                <w:rFonts w:hint="eastAsia"/>
                <w:color w:val="auto"/>
                <w:spacing w:val="-4"/>
                <w:sz w:val="18"/>
                <w:szCs w:val="18"/>
              </w:rPr>
              <w:t>无灰尘进入</w:t>
            </w:r>
          </w:p>
        </w:tc>
      </w:tr>
    </w:tbl>
    <w:p w14:paraId="1F3F4CF6">
      <w:pPr>
        <w:pStyle w:val="275"/>
        <w:bidi w:val="0"/>
        <w:ind w:left="0" w:leftChars="0" w:firstLine="0" w:firstLineChars="0"/>
        <w:rPr>
          <w:color w:val="auto"/>
        </w:rPr>
      </w:pPr>
      <w:bookmarkStart w:id="605" w:name="_Toc22170"/>
      <w:bookmarkStart w:id="606" w:name="_Toc30925"/>
      <w:bookmarkStart w:id="607" w:name="_Toc30190"/>
      <w:r>
        <w:rPr>
          <w:rFonts w:hint="eastAsia"/>
          <w:color w:val="auto"/>
        </w:rPr>
        <w:t>防水进入（第二位数字）</w:t>
      </w:r>
      <w:bookmarkEnd w:id="605"/>
      <w:bookmarkEnd w:id="606"/>
      <w:bookmarkEnd w:id="607"/>
    </w:p>
    <w:tbl>
      <w:tblPr>
        <w:tblStyle w:val="531"/>
        <w:tblW w:w="957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1783"/>
        <w:gridCol w:w="6524"/>
      </w:tblGrid>
      <w:tr w14:paraId="32B3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top"/>
          </w:tcPr>
          <w:p w14:paraId="6F0AB761">
            <w:pPr>
              <w:pStyle w:val="530"/>
              <w:keepNext w:val="0"/>
              <w:keepLines w:val="0"/>
              <w:pageBreakBefore w:val="0"/>
              <w:widowControl w:val="0"/>
              <w:kinsoku/>
              <w:wordWrap/>
              <w:overflowPunct/>
              <w:topLinePunct w:val="0"/>
              <w:autoSpaceDE/>
              <w:autoSpaceDN/>
              <w:bidi w:val="0"/>
              <w:adjustRightInd/>
              <w:snapToGrid/>
              <w:spacing w:before="69" w:line="240" w:lineRule="auto"/>
              <w:ind w:left="284"/>
              <w:textAlignment w:val="auto"/>
              <w:rPr>
                <w:color w:val="auto"/>
              </w:rPr>
            </w:pPr>
            <w:r>
              <w:rPr>
                <w:color w:val="auto"/>
                <w:spacing w:val="-4"/>
              </w:rPr>
              <w:t>防护等级</w:t>
            </w:r>
          </w:p>
        </w:tc>
        <w:tc>
          <w:tcPr>
            <w:tcW w:w="1783" w:type="dxa"/>
            <w:tcBorders>
              <w:left w:val="single" w:color="000000" w:sz="2" w:space="0"/>
              <w:right w:val="single" w:color="000000" w:sz="2" w:space="0"/>
            </w:tcBorders>
            <w:vAlign w:val="top"/>
          </w:tcPr>
          <w:p w14:paraId="41247240">
            <w:pPr>
              <w:pStyle w:val="530"/>
              <w:keepNext w:val="0"/>
              <w:keepLines w:val="0"/>
              <w:pageBreakBefore w:val="0"/>
              <w:widowControl w:val="0"/>
              <w:kinsoku/>
              <w:wordWrap/>
              <w:overflowPunct/>
              <w:topLinePunct w:val="0"/>
              <w:autoSpaceDE/>
              <w:autoSpaceDN/>
              <w:bidi w:val="0"/>
              <w:adjustRightInd/>
              <w:snapToGrid/>
              <w:spacing w:before="69" w:line="240" w:lineRule="auto"/>
              <w:ind w:left="532"/>
              <w:textAlignment w:val="auto"/>
              <w:rPr>
                <w:color w:val="auto"/>
              </w:rPr>
            </w:pPr>
            <w:r>
              <w:rPr>
                <w:color w:val="auto"/>
                <w:spacing w:val="-2"/>
              </w:rPr>
              <w:t>技术要求</w:t>
            </w:r>
          </w:p>
        </w:tc>
        <w:tc>
          <w:tcPr>
            <w:tcW w:w="6524" w:type="dxa"/>
            <w:tcBorders>
              <w:left w:val="single" w:color="000000" w:sz="2" w:space="0"/>
            </w:tcBorders>
            <w:vAlign w:val="top"/>
          </w:tcPr>
          <w:p w14:paraId="59FC9DBE">
            <w:pPr>
              <w:pStyle w:val="530"/>
              <w:keepNext w:val="0"/>
              <w:keepLines w:val="0"/>
              <w:pageBreakBefore w:val="0"/>
              <w:widowControl w:val="0"/>
              <w:kinsoku/>
              <w:wordWrap/>
              <w:overflowPunct/>
              <w:topLinePunct w:val="0"/>
              <w:autoSpaceDE/>
              <w:autoSpaceDN/>
              <w:bidi w:val="0"/>
              <w:adjustRightInd/>
              <w:snapToGrid/>
              <w:spacing w:before="69" w:line="240" w:lineRule="auto"/>
              <w:ind w:left="3084"/>
              <w:textAlignment w:val="auto"/>
              <w:rPr>
                <w:color w:val="auto"/>
              </w:rPr>
            </w:pPr>
            <w:r>
              <w:rPr>
                <w:color w:val="auto"/>
                <w:spacing w:val="-2"/>
              </w:rPr>
              <w:t>概述</w:t>
            </w:r>
          </w:p>
        </w:tc>
      </w:tr>
      <w:tr w14:paraId="6F96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bottom w:val="single" w:color="000000" w:sz="2" w:space="0"/>
              <w:right w:val="single" w:color="000000" w:sz="2" w:space="0"/>
            </w:tcBorders>
            <w:vAlign w:val="center"/>
          </w:tcPr>
          <w:p w14:paraId="7D705FE3">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0</w:t>
            </w:r>
          </w:p>
        </w:tc>
        <w:tc>
          <w:tcPr>
            <w:tcW w:w="1783" w:type="dxa"/>
            <w:tcBorders>
              <w:left w:val="single" w:color="000000" w:sz="2" w:space="0"/>
              <w:bottom w:val="single" w:color="000000" w:sz="2" w:space="0"/>
              <w:right w:val="single" w:color="000000" w:sz="2" w:space="0"/>
            </w:tcBorders>
            <w:vAlign w:val="top"/>
          </w:tcPr>
          <w:p w14:paraId="69176327">
            <w:pPr>
              <w:pStyle w:val="530"/>
              <w:keepNext w:val="0"/>
              <w:keepLines w:val="0"/>
              <w:pageBreakBefore w:val="0"/>
              <w:widowControl w:val="0"/>
              <w:kinsoku/>
              <w:wordWrap/>
              <w:overflowPunct/>
              <w:topLinePunct w:val="0"/>
              <w:autoSpaceDE/>
              <w:autoSpaceDN/>
              <w:bidi w:val="0"/>
              <w:adjustRightInd/>
              <w:snapToGrid/>
              <w:spacing w:before="60" w:line="240" w:lineRule="auto"/>
              <w:ind w:left="0"/>
              <w:textAlignment w:val="auto"/>
              <w:rPr>
                <w:color w:val="auto"/>
              </w:rPr>
            </w:pPr>
            <w:r>
              <w:rPr>
                <w:color w:val="auto"/>
                <w:spacing w:val="-2"/>
              </w:rPr>
              <w:t>无防护</w:t>
            </w:r>
          </w:p>
        </w:tc>
        <w:tc>
          <w:tcPr>
            <w:tcW w:w="6524" w:type="dxa"/>
            <w:tcBorders>
              <w:left w:val="single" w:color="000000" w:sz="2" w:space="0"/>
              <w:bottom w:val="single" w:color="000000" w:sz="2" w:space="0"/>
            </w:tcBorders>
            <w:vAlign w:val="top"/>
          </w:tcPr>
          <w:p w14:paraId="0036F90B">
            <w:pPr>
              <w:pStyle w:val="530"/>
              <w:keepNext w:val="0"/>
              <w:keepLines w:val="0"/>
              <w:pageBreakBefore w:val="0"/>
              <w:widowControl w:val="0"/>
              <w:kinsoku/>
              <w:wordWrap/>
              <w:overflowPunct/>
              <w:topLinePunct w:val="0"/>
              <w:autoSpaceDE/>
              <w:autoSpaceDN/>
              <w:bidi w:val="0"/>
              <w:adjustRightInd/>
              <w:snapToGrid/>
              <w:spacing w:before="60" w:line="240" w:lineRule="auto"/>
              <w:ind w:left="0"/>
              <w:textAlignment w:val="auto"/>
              <w:rPr>
                <w:color w:val="auto"/>
              </w:rPr>
            </w:pPr>
            <w:r>
              <w:rPr>
                <w:color w:val="auto"/>
                <w:spacing w:val="-4"/>
              </w:rPr>
              <w:t>不要求专用的防护。</w:t>
            </w:r>
          </w:p>
        </w:tc>
      </w:tr>
      <w:tr w14:paraId="445A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bottom w:val="single" w:color="000000" w:sz="2" w:space="0"/>
              <w:right w:val="single" w:color="000000" w:sz="2" w:space="0"/>
            </w:tcBorders>
            <w:vAlign w:val="center"/>
          </w:tcPr>
          <w:p w14:paraId="0E26A3D1">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1</w:t>
            </w:r>
          </w:p>
        </w:tc>
        <w:tc>
          <w:tcPr>
            <w:tcW w:w="1783" w:type="dxa"/>
            <w:tcBorders>
              <w:top w:val="single" w:color="000000" w:sz="2" w:space="0"/>
              <w:left w:val="single" w:color="000000" w:sz="2" w:space="0"/>
              <w:bottom w:val="single" w:color="000000" w:sz="2" w:space="0"/>
              <w:right w:val="single" w:color="000000" w:sz="2" w:space="0"/>
            </w:tcBorders>
            <w:vAlign w:val="top"/>
          </w:tcPr>
          <w:p w14:paraId="22A04905">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rPr>
                <w:rFonts w:hint="default" w:eastAsia="宋体"/>
                <w:color w:val="auto"/>
                <w:lang w:val="en-US" w:eastAsia="zh-CN"/>
              </w:rPr>
            </w:pPr>
            <w:r>
              <w:rPr>
                <w:rFonts w:hint="eastAsia"/>
                <w:color w:val="auto"/>
                <w:lang w:val="en-US" w:eastAsia="zh-CN"/>
              </w:rPr>
              <w:t>防止垂直方向滴水</w:t>
            </w:r>
          </w:p>
        </w:tc>
        <w:tc>
          <w:tcPr>
            <w:tcW w:w="6524" w:type="dxa"/>
            <w:tcBorders>
              <w:top w:val="single" w:color="000000" w:sz="2" w:space="0"/>
              <w:left w:val="single" w:color="000000" w:sz="2" w:space="0"/>
              <w:bottom w:val="single" w:color="000000" w:sz="2" w:space="0"/>
            </w:tcBorders>
            <w:vAlign w:val="top"/>
          </w:tcPr>
          <w:p w14:paraId="399ED1FB">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rPr>
                <w:color w:val="auto"/>
              </w:rPr>
            </w:pPr>
            <w:r>
              <w:rPr>
                <w:color w:val="auto"/>
                <w:spacing w:val="-3"/>
              </w:rPr>
              <w:t>垂直</w:t>
            </w:r>
            <w:r>
              <w:rPr>
                <w:rFonts w:hint="eastAsia"/>
                <w:color w:val="auto"/>
                <w:spacing w:val="-3"/>
                <w:lang w:val="en-US" w:eastAsia="zh-CN"/>
              </w:rPr>
              <w:t>方向滴水应无有害影响</w:t>
            </w:r>
            <w:r>
              <w:rPr>
                <w:color w:val="auto"/>
                <w:spacing w:val="-3"/>
              </w:rPr>
              <w:t>。</w:t>
            </w:r>
          </w:p>
        </w:tc>
      </w:tr>
      <w:tr w14:paraId="7815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right w:val="single" w:color="000000" w:sz="2" w:space="0"/>
            </w:tcBorders>
            <w:vAlign w:val="center"/>
          </w:tcPr>
          <w:p w14:paraId="5A3DA7DE">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2</w:t>
            </w:r>
          </w:p>
        </w:tc>
        <w:tc>
          <w:tcPr>
            <w:tcW w:w="1783" w:type="dxa"/>
            <w:tcBorders>
              <w:top w:val="single" w:color="000000" w:sz="2" w:space="0"/>
              <w:left w:val="single" w:color="000000" w:sz="2" w:space="0"/>
              <w:right w:val="single" w:color="000000" w:sz="2" w:space="0"/>
            </w:tcBorders>
            <w:vAlign w:val="top"/>
          </w:tcPr>
          <w:p w14:paraId="3F35FFA2">
            <w:pPr>
              <w:pStyle w:val="530"/>
              <w:keepNext w:val="0"/>
              <w:keepLines w:val="0"/>
              <w:pageBreakBefore w:val="0"/>
              <w:widowControl w:val="0"/>
              <w:kinsoku/>
              <w:wordWrap/>
              <w:overflowPunct/>
              <w:topLinePunct w:val="0"/>
              <w:autoSpaceDE/>
              <w:autoSpaceDN/>
              <w:bidi w:val="0"/>
              <w:adjustRightInd/>
              <w:snapToGrid/>
              <w:spacing w:before="69" w:line="240" w:lineRule="auto"/>
              <w:ind w:left="0"/>
              <w:textAlignment w:val="auto"/>
              <w:rPr>
                <w:rFonts w:hint="default"/>
                <w:color w:val="auto"/>
                <w:lang w:val="en-US"/>
              </w:rPr>
            </w:pPr>
            <w:r>
              <w:rPr>
                <w:rFonts w:hint="eastAsia"/>
                <w:color w:val="auto"/>
                <w:spacing w:val="-7"/>
                <w:lang w:val="en-US" w:eastAsia="zh-CN"/>
              </w:rPr>
              <w:t>防止当外壳在</w:t>
            </w:r>
            <w:r>
              <w:rPr>
                <w:color w:val="auto"/>
                <w:spacing w:val="-7"/>
              </w:rPr>
              <w:t>15</w:t>
            </w:r>
            <w:r>
              <w:rPr>
                <w:color w:val="auto"/>
                <w:spacing w:val="-65"/>
              </w:rPr>
              <w:t xml:space="preserve"> </w:t>
            </w:r>
            <w:r>
              <w:rPr>
                <w:color w:val="auto"/>
                <w:spacing w:val="-7"/>
              </w:rPr>
              <w:t>°</w:t>
            </w:r>
            <w:r>
              <w:rPr>
                <w:rFonts w:hint="eastAsia"/>
                <w:color w:val="auto"/>
                <w:spacing w:val="-7"/>
                <w:lang w:val="en-US" w:eastAsia="zh-CN"/>
              </w:rPr>
              <w:t>倾斜时垂直方向滴水</w:t>
            </w:r>
          </w:p>
        </w:tc>
        <w:tc>
          <w:tcPr>
            <w:tcW w:w="6524" w:type="dxa"/>
            <w:tcBorders>
              <w:top w:val="single" w:color="000000" w:sz="2" w:space="0"/>
              <w:left w:val="single" w:color="000000" w:sz="2" w:space="0"/>
            </w:tcBorders>
            <w:vAlign w:val="top"/>
          </w:tcPr>
          <w:p w14:paraId="55ACFF55">
            <w:pPr>
              <w:pStyle w:val="530"/>
              <w:keepNext w:val="0"/>
              <w:keepLines w:val="0"/>
              <w:pageBreakBefore w:val="0"/>
              <w:widowControl w:val="0"/>
              <w:kinsoku/>
              <w:wordWrap/>
              <w:overflowPunct/>
              <w:topLinePunct w:val="0"/>
              <w:autoSpaceDE/>
              <w:autoSpaceDN/>
              <w:bidi w:val="0"/>
              <w:adjustRightInd/>
              <w:snapToGrid/>
              <w:spacing w:before="68" w:line="240" w:lineRule="auto"/>
              <w:ind w:left="0"/>
              <w:textAlignment w:val="auto"/>
              <w:rPr>
                <w:color w:val="auto"/>
              </w:rPr>
            </w:pPr>
            <w:r>
              <w:rPr>
                <w:rFonts w:hint="eastAsia"/>
                <w:color w:val="auto"/>
                <w:spacing w:val="-3"/>
                <w:lang w:val="en-US" w:eastAsia="zh-CN"/>
              </w:rPr>
              <w:t>当外壳的各垂直面在</w:t>
            </w:r>
            <w:r>
              <w:rPr>
                <w:color w:val="auto"/>
                <w:spacing w:val="-7"/>
              </w:rPr>
              <w:t>15</w:t>
            </w:r>
            <w:r>
              <w:rPr>
                <w:color w:val="auto"/>
                <w:spacing w:val="-65"/>
              </w:rPr>
              <w:t xml:space="preserve"> </w:t>
            </w:r>
            <w:r>
              <w:rPr>
                <w:color w:val="auto"/>
                <w:spacing w:val="-7"/>
              </w:rPr>
              <w:t>°</w:t>
            </w:r>
            <w:r>
              <w:rPr>
                <w:rFonts w:hint="eastAsia"/>
                <w:color w:val="auto"/>
                <w:spacing w:val="-7"/>
                <w:lang w:val="en-US" w:eastAsia="zh-CN"/>
              </w:rPr>
              <w:t>倾斜时，垂直滴水应无有害影响</w:t>
            </w:r>
            <w:r>
              <w:rPr>
                <w:color w:val="auto"/>
                <w:spacing w:val="-3"/>
              </w:rPr>
              <w:t>。</w:t>
            </w:r>
          </w:p>
        </w:tc>
      </w:tr>
      <w:tr w14:paraId="56D5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14:paraId="01C53253">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3</w:t>
            </w:r>
          </w:p>
        </w:tc>
        <w:tc>
          <w:tcPr>
            <w:tcW w:w="1783" w:type="dxa"/>
            <w:tcBorders>
              <w:left w:val="single" w:color="000000" w:sz="2" w:space="0"/>
              <w:right w:val="single" w:color="000000" w:sz="2" w:space="0"/>
            </w:tcBorders>
            <w:vAlign w:val="top"/>
          </w:tcPr>
          <w:p w14:paraId="66416BD7">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rPr>
                <w:color w:val="auto"/>
              </w:rPr>
            </w:pPr>
            <w:r>
              <w:rPr>
                <w:color w:val="auto"/>
                <w:spacing w:val="-5"/>
              </w:rPr>
              <w:t>防淋水</w:t>
            </w:r>
          </w:p>
        </w:tc>
        <w:tc>
          <w:tcPr>
            <w:tcW w:w="6524" w:type="dxa"/>
            <w:tcBorders>
              <w:left w:val="single" w:color="000000" w:sz="2" w:space="0"/>
            </w:tcBorders>
            <w:vAlign w:val="top"/>
          </w:tcPr>
          <w:p w14:paraId="0186FA88">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rPr>
                <w:color w:val="auto"/>
              </w:rPr>
            </w:pPr>
            <w:r>
              <w:rPr>
                <w:rFonts w:hint="eastAsia"/>
                <w:color w:val="auto"/>
                <w:spacing w:val="-2"/>
                <w:lang w:val="en-US" w:eastAsia="zh-CN"/>
              </w:rPr>
              <w:t>当外壳的垂直面在</w:t>
            </w:r>
            <w:r>
              <w:rPr>
                <w:rFonts w:hint="eastAsia"/>
                <w:color w:val="auto"/>
                <w:spacing w:val="-7"/>
                <w:lang w:val="en-US" w:eastAsia="zh-CN"/>
              </w:rPr>
              <w:t>60</w:t>
            </w:r>
            <w:r>
              <w:rPr>
                <w:color w:val="auto"/>
                <w:spacing w:val="-65"/>
              </w:rPr>
              <w:t xml:space="preserve"> </w:t>
            </w:r>
            <w:r>
              <w:rPr>
                <w:color w:val="auto"/>
                <w:spacing w:val="-7"/>
              </w:rPr>
              <w:t>°</w:t>
            </w:r>
            <w:r>
              <w:rPr>
                <w:rFonts w:hint="eastAsia"/>
                <w:color w:val="auto"/>
                <w:spacing w:val="-7"/>
                <w:lang w:val="en-US" w:eastAsia="zh-CN"/>
              </w:rPr>
              <w:t>范围内淋水，无有害影响</w:t>
            </w:r>
            <w:r>
              <w:rPr>
                <w:color w:val="auto"/>
                <w:spacing w:val="-2"/>
              </w:rPr>
              <w:t>。</w:t>
            </w:r>
          </w:p>
        </w:tc>
      </w:tr>
      <w:tr w14:paraId="6006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14:paraId="096068E4">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4</w:t>
            </w:r>
          </w:p>
        </w:tc>
        <w:tc>
          <w:tcPr>
            <w:tcW w:w="1783" w:type="dxa"/>
            <w:tcBorders>
              <w:left w:val="single" w:color="000000" w:sz="2" w:space="0"/>
              <w:right w:val="single" w:color="000000" w:sz="2" w:space="0"/>
            </w:tcBorders>
            <w:vAlign w:val="top"/>
          </w:tcPr>
          <w:p w14:paraId="26812336">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rPr>
                <w:rFonts w:hint="eastAsia" w:eastAsia="宋体"/>
                <w:color w:val="auto"/>
                <w:lang w:val="en-US" w:eastAsia="zh-CN"/>
              </w:rPr>
            </w:pPr>
            <w:r>
              <w:rPr>
                <w:color w:val="auto"/>
                <w:spacing w:val="-5"/>
              </w:rPr>
              <w:t>防溅</w:t>
            </w:r>
            <w:r>
              <w:rPr>
                <w:rFonts w:hint="eastAsia"/>
                <w:color w:val="auto"/>
                <w:spacing w:val="-5"/>
                <w:lang w:val="en-US" w:eastAsia="zh-CN"/>
              </w:rPr>
              <w:t>水</w:t>
            </w:r>
          </w:p>
        </w:tc>
        <w:tc>
          <w:tcPr>
            <w:tcW w:w="6524" w:type="dxa"/>
            <w:tcBorders>
              <w:left w:val="single" w:color="000000" w:sz="2" w:space="0"/>
            </w:tcBorders>
            <w:vAlign w:val="top"/>
          </w:tcPr>
          <w:p w14:paraId="421F269F">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rPr>
                <w:color w:val="auto"/>
              </w:rPr>
            </w:pPr>
            <w:r>
              <w:rPr>
                <w:rFonts w:hint="eastAsia"/>
                <w:color w:val="auto"/>
                <w:spacing w:val="-3"/>
                <w:lang w:val="en-US" w:eastAsia="zh-CN"/>
              </w:rPr>
              <w:t>向外壳各方向溅水无有害影响</w:t>
            </w:r>
            <w:r>
              <w:rPr>
                <w:color w:val="auto"/>
                <w:spacing w:val="-3"/>
              </w:rPr>
              <w:t>。</w:t>
            </w:r>
          </w:p>
        </w:tc>
      </w:tr>
      <w:tr w14:paraId="05307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14:paraId="5F98339C">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5</w:t>
            </w:r>
          </w:p>
        </w:tc>
        <w:tc>
          <w:tcPr>
            <w:tcW w:w="1783" w:type="dxa"/>
            <w:tcBorders>
              <w:left w:val="single" w:color="000000" w:sz="2" w:space="0"/>
              <w:right w:val="single" w:color="000000" w:sz="2" w:space="0"/>
            </w:tcBorders>
            <w:vAlign w:val="top"/>
          </w:tcPr>
          <w:p w14:paraId="5B2B1FF9">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rPr>
                <w:color w:val="auto"/>
              </w:rPr>
            </w:pPr>
            <w:r>
              <w:rPr>
                <w:color w:val="auto"/>
                <w:spacing w:val="-5"/>
              </w:rPr>
              <w:t>防喷水</w:t>
            </w:r>
          </w:p>
        </w:tc>
        <w:tc>
          <w:tcPr>
            <w:tcW w:w="6524" w:type="dxa"/>
            <w:tcBorders>
              <w:left w:val="single" w:color="000000" w:sz="2" w:space="0"/>
            </w:tcBorders>
            <w:vAlign w:val="top"/>
          </w:tcPr>
          <w:p w14:paraId="6630C045">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rPr>
                <w:color w:val="auto"/>
              </w:rPr>
            </w:pPr>
            <w:r>
              <w:rPr>
                <w:rFonts w:hint="eastAsia"/>
                <w:color w:val="auto"/>
                <w:spacing w:val="-3"/>
                <w:lang w:val="en-US" w:eastAsia="zh-CN"/>
              </w:rPr>
              <w:t>向外壳各方向喷水</w:t>
            </w:r>
            <w:r>
              <w:rPr>
                <w:color w:val="auto"/>
                <w:spacing w:val="-3"/>
              </w:rPr>
              <w:t>无有害影响。</w:t>
            </w:r>
          </w:p>
        </w:tc>
      </w:tr>
      <w:tr w14:paraId="2056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14:paraId="3ACC86F2">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6</w:t>
            </w:r>
          </w:p>
        </w:tc>
        <w:tc>
          <w:tcPr>
            <w:tcW w:w="1783" w:type="dxa"/>
            <w:tcBorders>
              <w:left w:val="single" w:color="000000" w:sz="2" w:space="0"/>
              <w:right w:val="single" w:color="000000" w:sz="2" w:space="0"/>
            </w:tcBorders>
            <w:vAlign w:val="top"/>
          </w:tcPr>
          <w:p w14:paraId="72A9A7C4">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rPr>
                <w:color w:val="auto"/>
              </w:rPr>
            </w:pPr>
            <w:r>
              <w:rPr>
                <w:color w:val="auto"/>
                <w:spacing w:val="-3"/>
              </w:rPr>
              <w:t>防</w:t>
            </w:r>
            <w:r>
              <w:rPr>
                <w:rFonts w:hint="eastAsia"/>
                <w:color w:val="auto"/>
                <w:spacing w:val="-3"/>
                <w:lang w:val="en-US" w:eastAsia="zh-CN"/>
              </w:rPr>
              <w:t>强烈</w:t>
            </w:r>
            <w:r>
              <w:rPr>
                <w:color w:val="auto"/>
                <w:spacing w:val="-3"/>
              </w:rPr>
              <w:t>喷水</w:t>
            </w:r>
          </w:p>
        </w:tc>
        <w:tc>
          <w:tcPr>
            <w:tcW w:w="6524" w:type="dxa"/>
            <w:tcBorders>
              <w:left w:val="single" w:color="000000" w:sz="2" w:space="0"/>
            </w:tcBorders>
            <w:vAlign w:val="top"/>
          </w:tcPr>
          <w:p w14:paraId="520D1165">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rPr>
                <w:color w:val="auto"/>
              </w:rPr>
            </w:pPr>
            <w:r>
              <w:rPr>
                <w:rFonts w:hint="eastAsia"/>
                <w:color w:val="auto"/>
                <w:spacing w:val="-2"/>
                <w:lang w:val="en-US" w:eastAsia="zh-CN"/>
              </w:rPr>
              <w:t>向外壳各个方向强烈喷水</w:t>
            </w:r>
            <w:r>
              <w:rPr>
                <w:color w:val="auto"/>
                <w:spacing w:val="-2"/>
              </w:rPr>
              <w:t>无有害影响。</w:t>
            </w:r>
          </w:p>
        </w:tc>
      </w:tr>
      <w:tr w14:paraId="046C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bottom w:val="single" w:color="000000" w:sz="2" w:space="0"/>
              <w:right w:val="single" w:color="000000" w:sz="2" w:space="0"/>
            </w:tcBorders>
            <w:vAlign w:val="center"/>
          </w:tcPr>
          <w:p w14:paraId="58707C1B">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7</w:t>
            </w:r>
          </w:p>
        </w:tc>
        <w:tc>
          <w:tcPr>
            <w:tcW w:w="1783" w:type="dxa"/>
            <w:tcBorders>
              <w:left w:val="single" w:color="000000" w:sz="2" w:space="0"/>
              <w:bottom w:val="single" w:color="000000" w:sz="2" w:space="0"/>
              <w:right w:val="single" w:color="000000" w:sz="2" w:space="0"/>
            </w:tcBorders>
            <w:vAlign w:val="top"/>
          </w:tcPr>
          <w:p w14:paraId="4C1C1876">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rPr>
                <w:rFonts w:hint="eastAsia" w:eastAsia="宋体"/>
                <w:color w:val="auto"/>
                <w:lang w:val="en-US" w:eastAsia="zh-CN"/>
              </w:rPr>
            </w:pPr>
            <w:r>
              <w:rPr>
                <w:rFonts w:hint="eastAsia"/>
                <w:color w:val="auto"/>
                <w:spacing w:val="-2"/>
                <w:lang w:val="en-US" w:eastAsia="zh-CN"/>
              </w:rPr>
              <w:t>防短时间</w:t>
            </w:r>
            <w:r>
              <w:rPr>
                <w:color w:val="auto"/>
                <w:spacing w:val="-2"/>
              </w:rPr>
              <w:t>浸水</w:t>
            </w:r>
            <w:r>
              <w:rPr>
                <w:rFonts w:hint="eastAsia"/>
                <w:color w:val="auto"/>
                <w:spacing w:val="-2"/>
                <w:lang w:val="en-US" w:eastAsia="zh-CN"/>
              </w:rPr>
              <w:t>影响</w:t>
            </w:r>
          </w:p>
        </w:tc>
        <w:tc>
          <w:tcPr>
            <w:tcW w:w="6524" w:type="dxa"/>
            <w:tcBorders>
              <w:left w:val="single" w:color="000000" w:sz="2" w:space="0"/>
              <w:bottom w:val="single" w:color="000000" w:sz="2" w:space="0"/>
            </w:tcBorders>
            <w:vAlign w:val="top"/>
          </w:tcPr>
          <w:p w14:paraId="73B889B5">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rPr>
                <w:color w:val="auto"/>
              </w:rPr>
            </w:pPr>
            <w:r>
              <w:rPr>
                <w:rFonts w:hint="eastAsia"/>
                <w:color w:val="auto"/>
                <w:spacing w:val="-2"/>
                <w:lang w:val="en-US" w:eastAsia="zh-CN"/>
              </w:rPr>
              <w:t>浸入规定压力的书中经规定时间后外壳进水量不致达有害程度</w:t>
            </w:r>
            <w:r>
              <w:rPr>
                <w:color w:val="auto"/>
                <w:spacing w:val="-2"/>
              </w:rPr>
              <w:t>。</w:t>
            </w:r>
          </w:p>
        </w:tc>
      </w:tr>
      <w:tr w14:paraId="1518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bottom w:val="single" w:color="000000" w:sz="2" w:space="0"/>
              <w:right w:val="single" w:color="000000" w:sz="2" w:space="0"/>
            </w:tcBorders>
            <w:vAlign w:val="center"/>
          </w:tcPr>
          <w:p w14:paraId="78FE9FC1">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color w:val="auto"/>
              </w:rPr>
            </w:pPr>
            <w:r>
              <w:rPr>
                <w:color w:val="auto"/>
              </w:rPr>
              <w:t>8</w:t>
            </w:r>
          </w:p>
        </w:tc>
        <w:tc>
          <w:tcPr>
            <w:tcW w:w="1783" w:type="dxa"/>
            <w:tcBorders>
              <w:top w:val="single" w:color="000000" w:sz="2" w:space="0"/>
              <w:left w:val="single" w:color="000000" w:sz="2" w:space="0"/>
              <w:bottom w:val="single" w:color="000000" w:sz="2" w:space="0"/>
              <w:right w:val="single" w:color="000000" w:sz="2" w:space="0"/>
            </w:tcBorders>
            <w:vAlign w:val="top"/>
          </w:tcPr>
          <w:p w14:paraId="40B8BA96">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rPr>
                <w:rFonts w:hint="default" w:eastAsia="宋体"/>
                <w:color w:val="auto"/>
                <w:lang w:val="en-US" w:eastAsia="zh-CN"/>
              </w:rPr>
            </w:pPr>
            <w:r>
              <w:rPr>
                <w:rFonts w:hint="eastAsia"/>
                <w:color w:val="auto"/>
                <w:spacing w:val="-2"/>
                <w:lang w:val="en-US" w:eastAsia="zh-CN"/>
              </w:rPr>
              <w:t>防持续浸水影响</w:t>
            </w:r>
          </w:p>
        </w:tc>
        <w:tc>
          <w:tcPr>
            <w:tcW w:w="6524" w:type="dxa"/>
            <w:tcBorders>
              <w:top w:val="single" w:color="000000" w:sz="2" w:space="0"/>
              <w:left w:val="single" w:color="000000" w:sz="2" w:space="0"/>
              <w:bottom w:val="single" w:color="000000" w:sz="2" w:space="0"/>
            </w:tcBorders>
            <w:vAlign w:val="top"/>
          </w:tcPr>
          <w:p w14:paraId="2FB313D9">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rPr>
                <w:color w:val="auto"/>
              </w:rPr>
            </w:pPr>
            <w:r>
              <w:rPr>
                <w:rFonts w:hint="eastAsia"/>
                <w:color w:val="auto"/>
                <w:spacing w:val="-2"/>
                <w:lang w:val="en-US" w:eastAsia="zh-CN"/>
              </w:rPr>
              <w:t>按生产厂和用户双方同意的条件（应比特征数字为7时严酷）持续潜水后外壳进水量不致达有害程度</w:t>
            </w:r>
            <w:r>
              <w:rPr>
                <w:color w:val="auto"/>
                <w:spacing w:val="-2"/>
              </w:rPr>
              <w:t>。</w:t>
            </w:r>
          </w:p>
        </w:tc>
      </w:tr>
      <w:tr w14:paraId="5F97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right w:val="single" w:color="000000" w:sz="2" w:space="0"/>
            </w:tcBorders>
            <w:vAlign w:val="center"/>
          </w:tcPr>
          <w:p w14:paraId="56053519">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eastAsia="宋体"/>
                <w:color w:val="auto"/>
                <w:lang w:val="en-US" w:eastAsia="zh-CN"/>
              </w:rPr>
            </w:pPr>
            <w:r>
              <w:rPr>
                <w:rFonts w:hint="eastAsia"/>
                <w:color w:val="auto"/>
                <w:lang w:val="en-US" w:eastAsia="zh-CN"/>
              </w:rPr>
              <w:t>9</w:t>
            </w:r>
          </w:p>
        </w:tc>
        <w:tc>
          <w:tcPr>
            <w:tcW w:w="1783" w:type="dxa"/>
            <w:tcBorders>
              <w:top w:val="single" w:color="000000" w:sz="2" w:space="0"/>
              <w:left w:val="single" w:color="000000" w:sz="2" w:space="0"/>
              <w:right w:val="single" w:color="000000" w:sz="2" w:space="0"/>
            </w:tcBorders>
            <w:vAlign w:val="top"/>
          </w:tcPr>
          <w:p w14:paraId="496F3FC5">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rPr>
                <w:rFonts w:hint="default"/>
                <w:color w:val="auto"/>
                <w:spacing w:val="-2"/>
                <w:lang w:val="en-US" w:eastAsia="zh-CN"/>
              </w:rPr>
            </w:pPr>
            <w:r>
              <w:rPr>
                <w:rFonts w:hint="eastAsia"/>
                <w:color w:val="auto"/>
                <w:spacing w:val="-2"/>
                <w:lang w:val="en-US" w:eastAsia="zh-CN"/>
              </w:rPr>
              <w:t>防高温/高压喷水的影响</w:t>
            </w:r>
          </w:p>
        </w:tc>
        <w:tc>
          <w:tcPr>
            <w:tcW w:w="6524" w:type="dxa"/>
            <w:tcBorders>
              <w:top w:val="single" w:color="000000" w:sz="2" w:space="0"/>
              <w:left w:val="single" w:color="000000" w:sz="2" w:space="0"/>
            </w:tcBorders>
            <w:vAlign w:val="top"/>
          </w:tcPr>
          <w:p w14:paraId="611A2E2B">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rPr>
                <w:rFonts w:hint="default"/>
                <w:color w:val="auto"/>
                <w:spacing w:val="-2"/>
                <w:lang w:val="en-US" w:eastAsia="zh-CN"/>
              </w:rPr>
            </w:pPr>
            <w:r>
              <w:rPr>
                <w:rFonts w:hint="eastAsia"/>
                <w:color w:val="auto"/>
                <w:spacing w:val="-2"/>
                <w:lang w:val="en-US" w:eastAsia="zh-CN"/>
              </w:rPr>
              <w:t>向外壳各方向喷射高温/高压水无有害影响</w:t>
            </w:r>
          </w:p>
        </w:tc>
      </w:tr>
    </w:tbl>
    <w:p w14:paraId="4BF517DF">
      <w:pPr>
        <w:rPr>
          <w:rFonts w:hint="eastAsia"/>
          <w:color w:val="auto"/>
          <w:lang w:val="en-US" w:eastAsia="zh-CN"/>
        </w:rPr>
      </w:pPr>
      <w:r>
        <w:rPr>
          <w:rFonts w:hint="eastAsia"/>
          <w:color w:val="auto"/>
          <w:lang w:val="en-US" w:eastAsia="zh-CN"/>
        </w:rPr>
        <w:br w:type="page"/>
      </w:r>
    </w:p>
    <w:p w14:paraId="7BE9819E">
      <w:pPr>
        <w:rPr>
          <w:rFonts w:hint="eastAsia"/>
          <w:color w:val="auto"/>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58E255C9">
      <w:pPr>
        <w:pStyle w:val="347"/>
        <w:bidi w:val="0"/>
        <w:ind w:left="0" w:leftChars="0" w:firstLine="0" w:firstLineChars="0"/>
        <w:rPr>
          <w:rFonts w:hint="eastAsia"/>
          <w:color w:val="auto"/>
          <w:lang w:val="en-US" w:eastAsia="zh-CN"/>
        </w:rPr>
      </w:pPr>
    </w:p>
    <w:p w14:paraId="1C2AB50A">
      <w:pPr>
        <w:pStyle w:val="348"/>
        <w:bidi w:val="0"/>
        <w:ind w:left="0" w:leftChars="0" w:firstLine="0" w:firstLineChars="0"/>
        <w:rPr>
          <w:rFonts w:hint="eastAsia"/>
          <w:color w:val="auto"/>
          <w:lang w:val="en-US" w:eastAsia="zh-CN"/>
        </w:rPr>
      </w:pPr>
    </w:p>
    <w:bookmarkEnd w:id="582"/>
    <w:bookmarkEnd w:id="583"/>
    <w:bookmarkEnd w:id="584"/>
    <w:bookmarkEnd w:id="585"/>
    <w:bookmarkEnd w:id="586"/>
    <w:bookmarkEnd w:id="587"/>
    <w:bookmarkEnd w:id="588"/>
    <w:bookmarkEnd w:id="589"/>
    <w:bookmarkEnd w:id="590"/>
    <w:p w14:paraId="005F643D">
      <w:pPr>
        <w:pStyle w:val="274"/>
        <w:bidi w:val="0"/>
        <w:jc w:val="center"/>
        <w:rPr>
          <w:rFonts w:hint="eastAsia"/>
          <w:color w:val="auto"/>
          <w:lang w:val="en-US" w:eastAsia="zh-CN"/>
        </w:rPr>
      </w:pPr>
      <w:bookmarkStart w:id="608" w:name="_Toc4180"/>
      <w:bookmarkStart w:id="609" w:name="_Toc13483"/>
      <w:bookmarkStart w:id="610" w:name="_Toc2190"/>
      <w:bookmarkStart w:id="611" w:name="_Toc15724"/>
      <w:bookmarkStart w:id="612" w:name="_Toc26082"/>
      <w:bookmarkStart w:id="613" w:name="_Toc2731"/>
      <w:bookmarkStart w:id="614" w:name="_Toc4891"/>
      <w:bookmarkStart w:id="615" w:name="_Toc20016"/>
      <w:bookmarkStart w:id="616" w:name="_Toc12374"/>
      <w:bookmarkStart w:id="617" w:name="附录头部信息书签_3"/>
      <w:bookmarkStart w:id="618" w:name="_Toc5768"/>
      <w:bookmarkStart w:id="619" w:name="_Toc18848"/>
      <w:bookmarkStart w:id="620" w:name="_Toc24941"/>
      <w:r>
        <w:rPr>
          <w:rFonts w:hint="eastAsia"/>
          <w:color w:val="auto"/>
          <w:lang w:val="en-US" w:eastAsia="zh-CN"/>
        </w:rPr>
        <w:br w:type="textWrapping"/>
      </w:r>
      <w:r>
        <w:rPr>
          <w:rFonts w:hint="eastAsia"/>
          <w:color w:val="auto"/>
          <w:lang w:val="en-US" w:eastAsia="zh-CN"/>
        </w:rPr>
        <w:t>（规范性）</w:t>
      </w:r>
      <w:r>
        <w:rPr>
          <w:rFonts w:hint="eastAsia"/>
          <w:color w:val="auto"/>
          <w:lang w:val="en-US" w:eastAsia="zh-CN"/>
        </w:rPr>
        <w:br w:type="textWrapping"/>
      </w:r>
      <w:r>
        <w:rPr>
          <w:rFonts w:hint="eastAsia"/>
          <w:color w:val="auto"/>
          <w:lang w:val="en-US" w:eastAsia="zh-CN"/>
        </w:rPr>
        <w:t>检查条款危险等级划分</w:t>
      </w:r>
      <w:bookmarkEnd w:id="608"/>
      <w:bookmarkEnd w:id="609"/>
      <w:bookmarkEnd w:id="610"/>
      <w:bookmarkEnd w:id="611"/>
      <w:bookmarkEnd w:id="612"/>
      <w:bookmarkEnd w:id="613"/>
      <w:bookmarkEnd w:id="614"/>
      <w:bookmarkEnd w:id="615"/>
      <w:bookmarkEnd w:id="616"/>
      <w:bookmarkEnd w:id="617"/>
      <w:bookmarkEnd w:id="618"/>
      <w:bookmarkEnd w:id="619"/>
      <w:bookmarkEnd w:id="620"/>
    </w:p>
    <w:p w14:paraId="49F62922">
      <w:pPr>
        <w:pStyle w:val="275"/>
        <w:bidi w:val="0"/>
        <w:ind w:left="0" w:leftChars="0" w:firstLine="0" w:firstLineChars="0"/>
        <w:rPr>
          <w:rFonts w:hint="eastAsia"/>
          <w:color w:val="auto"/>
          <w:lang w:val="en-US" w:eastAsia="zh-CN"/>
        </w:rPr>
      </w:pPr>
      <w:bookmarkStart w:id="621" w:name="_Toc20326"/>
      <w:bookmarkStart w:id="622" w:name="_Toc28183"/>
      <w:bookmarkStart w:id="623" w:name="_Toc11408"/>
      <w:bookmarkStart w:id="624" w:name="_Toc4269"/>
      <w:bookmarkStart w:id="625" w:name="_Toc13875"/>
      <w:bookmarkStart w:id="626" w:name="_Toc24887"/>
      <w:bookmarkStart w:id="627" w:name="_Toc28775"/>
      <w:bookmarkStart w:id="628" w:name="_Toc9275"/>
      <w:bookmarkStart w:id="629" w:name="_Toc26875"/>
      <w:bookmarkStart w:id="630" w:name="_Toc894"/>
      <w:r>
        <w:rPr>
          <w:color w:val="auto"/>
          <w:lang w:val="en-US" w:eastAsia="zh-CN"/>
        </w:rPr>
        <w:t>直观检查条款危险等级划分表</w:t>
      </w:r>
      <w:bookmarkEnd w:id="621"/>
      <w:bookmarkEnd w:id="622"/>
      <w:bookmarkEnd w:id="623"/>
      <w:bookmarkEnd w:id="624"/>
      <w:bookmarkEnd w:id="625"/>
      <w:bookmarkEnd w:id="626"/>
      <w:bookmarkEnd w:id="627"/>
      <w:bookmarkEnd w:id="628"/>
      <w:bookmarkEnd w:id="629"/>
      <w:bookmarkEnd w:id="630"/>
    </w:p>
    <w:tbl>
      <w:tblPr>
        <w:tblStyle w:val="531"/>
        <w:tblpPr w:leftFromText="180" w:rightFromText="180" w:vertAnchor="text" w:horzAnchor="page" w:tblpX="1274" w:tblpY="211"/>
        <w:tblOverlap w:val="never"/>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8660"/>
      </w:tblGrid>
      <w:tr w14:paraId="775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763" w:type="dxa"/>
            <w:vAlign w:val="center"/>
          </w:tcPr>
          <w:p w14:paraId="43A41A4E">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pacing w:val="-3"/>
                <w:sz w:val="18"/>
                <w:szCs w:val="18"/>
              </w:rPr>
              <w:t>级别</w:t>
            </w:r>
          </w:p>
        </w:tc>
        <w:tc>
          <w:tcPr>
            <w:tcW w:w="8660" w:type="dxa"/>
            <w:vAlign w:val="center"/>
          </w:tcPr>
          <w:p w14:paraId="3D350157">
            <w:pPr>
              <w:pStyle w:val="530"/>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r>
              <w:rPr>
                <w:rFonts w:hint="eastAsia" w:ascii="宋体" w:hAnsi="宋体" w:eastAsia="宋体" w:cs="宋体"/>
                <w:color w:val="auto"/>
                <w:spacing w:val="-5"/>
                <w:sz w:val="18"/>
                <w:szCs w:val="18"/>
              </w:rPr>
              <w:t>条</w:t>
            </w:r>
            <w:r>
              <w:rPr>
                <w:rFonts w:hint="eastAsia" w:ascii="宋体" w:hAnsi="宋体" w:eastAsia="宋体" w:cs="宋体"/>
                <w:color w:val="auto"/>
                <w:spacing w:val="2"/>
                <w:sz w:val="18"/>
                <w:szCs w:val="18"/>
              </w:rPr>
              <w:t xml:space="preserve">    </w:t>
            </w:r>
            <w:r>
              <w:rPr>
                <w:rFonts w:hint="eastAsia" w:ascii="宋体" w:hAnsi="宋体" w:eastAsia="宋体" w:cs="宋体"/>
                <w:color w:val="auto"/>
                <w:spacing w:val="-5"/>
                <w:sz w:val="18"/>
                <w:szCs w:val="18"/>
              </w:rPr>
              <w:t>款</w:t>
            </w:r>
          </w:p>
        </w:tc>
      </w:tr>
      <w:tr w14:paraId="77CB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63" w:type="dxa"/>
            <w:vMerge w:val="restart"/>
            <w:vAlign w:val="center"/>
          </w:tcPr>
          <w:p w14:paraId="20CD5F63">
            <w:pPr>
              <w:pStyle w:val="53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color w:val="auto"/>
                <w:spacing w:val="2"/>
                <w:kern w:val="2"/>
                <w:sz w:val="18"/>
                <w:szCs w:val="18"/>
                <w:lang w:val="en-US" w:eastAsia="en-US" w:bidi="ar-SA"/>
              </w:rPr>
            </w:pPr>
            <w:r>
              <w:rPr>
                <w:rFonts w:hint="eastAsia" w:ascii="宋体" w:hAnsi="宋体" w:eastAsia="宋体" w:cs="宋体"/>
                <w:color w:val="auto"/>
                <w:spacing w:val="2"/>
                <w:kern w:val="2"/>
                <w:sz w:val="18"/>
                <w:szCs w:val="18"/>
                <w:lang w:val="en-US" w:eastAsia="en-US" w:bidi="ar-SA"/>
              </w:rPr>
              <w:t>A 级</w:t>
            </w:r>
          </w:p>
        </w:tc>
        <w:tc>
          <w:tcPr>
            <w:tcW w:w="8660" w:type="dxa"/>
            <w:vAlign w:val="top"/>
          </w:tcPr>
          <w:p w14:paraId="13AB92D5">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4.1                    4.2                     </w:t>
            </w: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 xml:space="preserve">.1.1.1.1                 </w:t>
            </w: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 xml:space="preserve">.1.1.1.3  </w:t>
            </w:r>
          </w:p>
        </w:tc>
      </w:tr>
      <w:tr w14:paraId="7BB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63" w:type="dxa"/>
            <w:vMerge w:val="continue"/>
            <w:vAlign w:val="center"/>
          </w:tcPr>
          <w:p w14:paraId="629010C3">
            <w:pPr>
              <w:pStyle w:val="53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auto"/>
                <w:spacing w:val="-2"/>
                <w:kern w:val="0"/>
                <w:sz w:val="18"/>
                <w:szCs w:val="18"/>
                <w:lang w:val="en-US" w:eastAsia="en-US" w:bidi="ar-SA"/>
              </w:rPr>
            </w:pPr>
          </w:p>
        </w:tc>
        <w:tc>
          <w:tcPr>
            <w:tcW w:w="8660" w:type="dxa"/>
            <w:vAlign w:val="top"/>
          </w:tcPr>
          <w:p w14:paraId="42CD85E4">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6.2.1.1.7</w:t>
            </w:r>
            <w:r>
              <w:rPr>
                <w:rFonts w:hint="eastAsia" w:ascii="宋体" w:hAnsi="宋体" w:cs="宋体"/>
                <w:color w:val="auto"/>
                <w:sz w:val="18"/>
                <w:szCs w:val="18"/>
                <w:lang w:val="en-US" w:eastAsia="zh-CN"/>
              </w:rPr>
              <w:t xml:space="preserve">              6.3.3.1.5               6.4.1.1.4                 6.4.1.1.5</w:t>
            </w:r>
          </w:p>
        </w:tc>
      </w:tr>
      <w:tr w14:paraId="0B18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63" w:type="dxa"/>
            <w:vMerge w:val="continue"/>
            <w:vAlign w:val="center"/>
          </w:tcPr>
          <w:p w14:paraId="0DE13195">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8660" w:type="dxa"/>
            <w:vAlign w:val="top"/>
          </w:tcPr>
          <w:p w14:paraId="77C05ACC">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6.4.1.1.6</w:t>
            </w:r>
            <w:r>
              <w:rPr>
                <w:rFonts w:hint="eastAsia" w:ascii="宋体" w:hAnsi="宋体" w:cs="宋体"/>
                <w:color w:val="auto"/>
                <w:sz w:val="18"/>
                <w:szCs w:val="18"/>
                <w:lang w:val="en-US" w:eastAsia="zh-CN"/>
              </w:rPr>
              <w:t xml:space="preserve">              6.4.1.1.8               6.6.1.1.1                 6.6.2.1.2</w:t>
            </w:r>
          </w:p>
        </w:tc>
      </w:tr>
      <w:tr w14:paraId="0D4D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restart"/>
            <w:vAlign w:val="center"/>
          </w:tcPr>
          <w:p w14:paraId="3F99EF80">
            <w:pPr>
              <w:keepNext w:val="0"/>
              <w:keepLines w:val="0"/>
              <w:pageBreakBefore w:val="0"/>
              <w:tabs>
                <w:tab w:val="left" w:pos="240"/>
              </w:tabs>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r>
              <w:rPr>
                <w:rFonts w:hint="eastAsia" w:ascii="宋体" w:hAnsi="宋体" w:eastAsia="宋体" w:cs="宋体"/>
                <w:snapToGrid w:val="0"/>
                <w:color w:val="auto"/>
                <w:spacing w:val="-2"/>
                <w:kern w:val="0"/>
                <w:sz w:val="18"/>
                <w:szCs w:val="18"/>
                <w:lang w:val="en-US" w:eastAsia="en-US" w:bidi="ar-SA"/>
              </w:rPr>
              <w:t>B 级</w:t>
            </w:r>
          </w:p>
        </w:tc>
        <w:tc>
          <w:tcPr>
            <w:tcW w:w="8660" w:type="dxa"/>
            <w:vAlign w:val="top"/>
          </w:tcPr>
          <w:p w14:paraId="4378951D">
            <w:pPr>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 xml:space="preserve">.1.1.1.2              </w:t>
            </w: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.1.1.1.</w:t>
            </w: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6</w:t>
            </w:r>
            <w:r>
              <w:rPr>
                <w:rFonts w:hint="eastAsia" w:ascii="宋体" w:hAnsi="宋体" w:eastAsia="宋体" w:cs="宋体"/>
                <w:color w:val="auto"/>
                <w:sz w:val="18"/>
                <w:szCs w:val="18"/>
                <w:lang w:val="en-US" w:eastAsia="zh-CN"/>
              </w:rPr>
              <w:t>.1.1.1.</w:t>
            </w:r>
            <w:r>
              <w:rPr>
                <w:rFonts w:hint="eastAsia" w:ascii="宋体" w:hAnsi="宋体" w:cs="宋体"/>
                <w:color w:val="auto"/>
                <w:sz w:val="18"/>
                <w:szCs w:val="18"/>
                <w:lang w:val="en-US" w:eastAsia="zh-CN"/>
              </w:rPr>
              <w:t>7</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6</w:t>
            </w: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 xml:space="preserve">1 </w:t>
            </w:r>
          </w:p>
        </w:tc>
      </w:tr>
      <w:tr w14:paraId="0944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2C9EB7CE">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1CC7CC47">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1              6</w:t>
            </w: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1               6</w:t>
            </w: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4</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1                 6</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w:t>
            </w:r>
          </w:p>
        </w:tc>
      </w:tr>
      <w:tr w14:paraId="6DCC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74B27034">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70A68859">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6.2.1.1.3</w:t>
            </w:r>
            <w:r>
              <w:rPr>
                <w:rFonts w:hint="eastAsia" w:ascii="宋体" w:hAnsi="宋体" w:cs="宋体"/>
                <w:color w:val="auto"/>
                <w:sz w:val="18"/>
                <w:szCs w:val="18"/>
                <w:lang w:val="en-US" w:eastAsia="zh-CN"/>
              </w:rPr>
              <w:t xml:space="preserve">              6.2.1.1.6               6.2.1.1.8                 6.2.2.1.1</w:t>
            </w:r>
          </w:p>
        </w:tc>
      </w:tr>
      <w:tr w14:paraId="046F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746FB87F">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7E8A2FAD">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6.2.3.1.2</w:t>
            </w:r>
            <w:r>
              <w:rPr>
                <w:rFonts w:hint="eastAsia" w:ascii="宋体" w:hAnsi="宋体" w:cs="宋体"/>
                <w:color w:val="auto"/>
                <w:sz w:val="18"/>
                <w:szCs w:val="18"/>
                <w:lang w:val="en-US" w:eastAsia="zh-CN"/>
              </w:rPr>
              <w:t xml:space="preserve">              6.2.3.1.3               6.3.1.1.1                 6.3.1.1.2</w:t>
            </w:r>
          </w:p>
        </w:tc>
      </w:tr>
      <w:tr w14:paraId="0B2F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7F3F10D4">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2FD2A76B">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6.3.1.1.3</w:t>
            </w:r>
            <w:r>
              <w:rPr>
                <w:rFonts w:hint="eastAsia" w:ascii="宋体" w:hAnsi="宋体" w:cs="宋体"/>
                <w:color w:val="auto"/>
                <w:sz w:val="18"/>
                <w:szCs w:val="18"/>
                <w:lang w:val="en-US" w:eastAsia="zh-CN"/>
              </w:rPr>
              <w:t xml:space="preserve">              6.3.1.1.4               6.3.2.1.1                 6.3.2.1.2</w:t>
            </w:r>
          </w:p>
        </w:tc>
      </w:tr>
      <w:tr w14:paraId="5CC4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28CAB081">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7076DD4E">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6.3.2.1.8</w:t>
            </w:r>
            <w:r>
              <w:rPr>
                <w:rFonts w:hint="eastAsia" w:ascii="宋体" w:hAnsi="宋体" w:cs="宋体"/>
                <w:color w:val="auto"/>
                <w:sz w:val="18"/>
                <w:szCs w:val="18"/>
                <w:lang w:val="en-US" w:eastAsia="zh-CN"/>
              </w:rPr>
              <w:t xml:space="preserve">              6.3.2.1.9               6.3.2.1.10                6.3.2.1.13</w:t>
            </w:r>
          </w:p>
        </w:tc>
      </w:tr>
      <w:tr w14:paraId="26DD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21506C33">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5E74B018">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6.3.2.1.14</w:t>
            </w:r>
            <w:r>
              <w:rPr>
                <w:rFonts w:hint="eastAsia" w:ascii="宋体" w:hAnsi="宋体" w:cs="宋体"/>
                <w:color w:val="auto"/>
                <w:sz w:val="18"/>
                <w:szCs w:val="18"/>
                <w:lang w:val="en-US" w:eastAsia="zh-CN"/>
              </w:rPr>
              <w:t xml:space="preserve">             6.3.2.1.15              6.3.3.1.1                 6.3.3.1.2</w:t>
            </w:r>
          </w:p>
        </w:tc>
      </w:tr>
      <w:tr w14:paraId="2DBB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59AF0E03">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2D9EE127">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6.3.3.1.3</w:t>
            </w:r>
            <w:r>
              <w:rPr>
                <w:rFonts w:hint="eastAsia" w:ascii="宋体" w:hAnsi="宋体" w:cs="宋体"/>
                <w:color w:val="auto"/>
                <w:sz w:val="18"/>
                <w:szCs w:val="18"/>
                <w:lang w:val="en-US" w:eastAsia="zh-CN"/>
              </w:rPr>
              <w:t xml:space="preserve">              6.3.3.1.4               6.4.1.1.3                 6.4.1.1.7</w:t>
            </w:r>
          </w:p>
        </w:tc>
      </w:tr>
      <w:tr w14:paraId="2382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24ADAF67">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42FC9DE8">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6.4.2.1.1</w:t>
            </w:r>
            <w:r>
              <w:rPr>
                <w:rFonts w:hint="eastAsia" w:ascii="宋体" w:hAnsi="宋体" w:cs="宋体"/>
                <w:color w:val="auto"/>
                <w:sz w:val="18"/>
                <w:szCs w:val="18"/>
                <w:lang w:val="en-US" w:eastAsia="zh-CN"/>
              </w:rPr>
              <w:t xml:space="preserve">              6.4.2.1.5               6.4.2.1.6                 6.5.3.1.1     </w:t>
            </w:r>
          </w:p>
        </w:tc>
      </w:tr>
      <w:tr w14:paraId="6DC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532906CF">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22E7331E">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 xml:space="preserve">6.5.3.1.2 </w:t>
            </w:r>
            <w:r>
              <w:rPr>
                <w:rFonts w:hint="eastAsia" w:ascii="宋体" w:hAnsi="宋体" w:cs="宋体"/>
                <w:color w:val="auto"/>
                <w:sz w:val="18"/>
                <w:szCs w:val="18"/>
                <w:lang w:val="en-US" w:eastAsia="zh-CN"/>
              </w:rPr>
              <w:t xml:space="preserve">             6.6.1.1.2               6.6.1.1.3                 6.6.1.1.4</w:t>
            </w:r>
          </w:p>
        </w:tc>
      </w:tr>
      <w:tr w14:paraId="45EE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2C9A2ABA">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4D0E391E">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6.6.2.1.5</w:t>
            </w:r>
            <w:r>
              <w:rPr>
                <w:rFonts w:hint="eastAsia" w:ascii="宋体" w:hAnsi="宋体" w:cs="宋体"/>
                <w:color w:val="auto"/>
                <w:sz w:val="18"/>
                <w:szCs w:val="18"/>
                <w:lang w:val="en-US" w:eastAsia="zh-CN"/>
              </w:rPr>
              <w:t xml:space="preserve">              6.6.2.1.6               6.7.1.1.1                 6.7.1.1.2</w:t>
            </w:r>
          </w:p>
        </w:tc>
      </w:tr>
      <w:tr w14:paraId="585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03AE4CA2">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36E195A3">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6.7.1.1.3</w:t>
            </w:r>
            <w:r>
              <w:rPr>
                <w:rFonts w:hint="eastAsia" w:ascii="宋体" w:hAnsi="宋体" w:cs="宋体"/>
                <w:color w:val="auto"/>
                <w:sz w:val="18"/>
                <w:szCs w:val="18"/>
                <w:lang w:val="en-US" w:eastAsia="zh-CN"/>
              </w:rPr>
              <w:t xml:space="preserve">              6.7.1.1.4               6.7.1.1.5                 6.7.1.1.7</w:t>
            </w:r>
          </w:p>
        </w:tc>
      </w:tr>
      <w:tr w14:paraId="0732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4B46B621">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8660" w:type="dxa"/>
            <w:vAlign w:val="top"/>
          </w:tcPr>
          <w:p w14:paraId="21E230ED">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6.7.1.1.8</w:t>
            </w:r>
            <w:r>
              <w:rPr>
                <w:rFonts w:hint="eastAsia" w:ascii="宋体" w:hAnsi="宋体" w:cs="宋体"/>
                <w:color w:val="auto"/>
                <w:sz w:val="18"/>
                <w:szCs w:val="18"/>
                <w:lang w:val="en-US" w:eastAsia="zh-CN"/>
              </w:rPr>
              <w:t xml:space="preserve">              6.7.1.1.9               6.7.2.1.2                 6.7.2.1.3</w:t>
            </w:r>
          </w:p>
        </w:tc>
      </w:tr>
      <w:tr w14:paraId="3764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restart"/>
            <w:vAlign w:val="center"/>
          </w:tcPr>
          <w:p w14:paraId="4B1CE3AD">
            <w:pPr>
              <w:pStyle w:val="530"/>
              <w:keepNext w:val="0"/>
              <w:keepLines w:val="0"/>
              <w:pageBreakBefore w:val="0"/>
              <w:kinsoku/>
              <w:wordWrap/>
              <w:overflowPunct/>
              <w:topLinePunct w:val="0"/>
              <w:autoSpaceDE/>
              <w:autoSpaceDN/>
              <w:bidi w:val="0"/>
              <w:adjustRightInd/>
              <w:snapToGrid/>
              <w:spacing w:line="222" w:lineRule="auto"/>
              <w:jc w:val="center"/>
              <w:textAlignment w:val="auto"/>
              <w:rPr>
                <w:rFonts w:hint="eastAsia" w:ascii="宋体" w:hAnsi="宋体" w:eastAsia="宋体" w:cs="宋体"/>
                <w:color w:val="auto"/>
                <w:sz w:val="18"/>
                <w:szCs w:val="18"/>
              </w:rPr>
            </w:pPr>
            <w:r>
              <w:rPr>
                <w:rFonts w:hint="eastAsia" w:ascii="宋体" w:hAnsi="宋体" w:eastAsia="宋体" w:cs="宋体"/>
                <w:snapToGrid w:val="0"/>
                <w:color w:val="auto"/>
                <w:spacing w:val="2"/>
                <w:kern w:val="0"/>
                <w:sz w:val="18"/>
                <w:szCs w:val="18"/>
                <w:lang w:val="en-US" w:eastAsia="zh-CN" w:bidi="ar-SA"/>
              </w:rPr>
              <w:t>C 级</w:t>
            </w:r>
          </w:p>
        </w:tc>
        <w:tc>
          <w:tcPr>
            <w:tcW w:w="8660" w:type="dxa"/>
            <w:vAlign w:val="top"/>
          </w:tcPr>
          <w:p w14:paraId="13C16042">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1.1.1.5</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6</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6.2.1.1.4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 xml:space="preserve">6.2.1.1.5  </w:t>
            </w:r>
          </w:p>
        </w:tc>
      </w:tr>
      <w:tr w14:paraId="3537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center"/>
          </w:tcPr>
          <w:p w14:paraId="62D23F1C">
            <w:pPr>
              <w:pStyle w:val="530"/>
              <w:keepNext w:val="0"/>
              <w:keepLines w:val="0"/>
              <w:pageBreakBefore w:val="0"/>
              <w:kinsoku/>
              <w:wordWrap/>
              <w:overflowPunct/>
              <w:topLinePunct w:val="0"/>
              <w:autoSpaceDE/>
              <w:autoSpaceDN/>
              <w:bidi w:val="0"/>
              <w:adjustRightInd/>
              <w:snapToGrid/>
              <w:spacing w:line="222" w:lineRule="auto"/>
              <w:jc w:val="center"/>
              <w:textAlignment w:val="auto"/>
              <w:rPr>
                <w:rFonts w:hint="eastAsia" w:ascii="宋体" w:hAnsi="宋体" w:eastAsia="宋体" w:cs="宋体"/>
                <w:color w:val="auto"/>
                <w:sz w:val="18"/>
                <w:szCs w:val="18"/>
              </w:rPr>
            </w:pPr>
          </w:p>
        </w:tc>
        <w:tc>
          <w:tcPr>
            <w:tcW w:w="8660" w:type="dxa"/>
            <w:vAlign w:val="top"/>
          </w:tcPr>
          <w:p w14:paraId="257A22A1">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6.2.2.1.2</w:t>
            </w:r>
            <w:r>
              <w:rPr>
                <w:rFonts w:hint="eastAsia" w:ascii="宋体" w:hAnsi="宋体" w:cs="宋体"/>
                <w:color w:val="auto"/>
                <w:sz w:val="18"/>
                <w:szCs w:val="18"/>
                <w:lang w:val="en-US" w:eastAsia="zh-CN"/>
              </w:rPr>
              <w:t xml:space="preserve">              6.2.3.1.1               6.3.2.1.3                 6.3.2.1.4</w:t>
            </w:r>
          </w:p>
        </w:tc>
      </w:tr>
      <w:tr w14:paraId="0B01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233456F3">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070DD57A">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6.3.2.1.5</w:t>
            </w:r>
            <w:r>
              <w:rPr>
                <w:rFonts w:hint="eastAsia" w:ascii="宋体" w:hAnsi="宋体" w:cs="宋体"/>
                <w:color w:val="auto"/>
                <w:sz w:val="18"/>
                <w:szCs w:val="18"/>
                <w:lang w:val="en-US" w:eastAsia="zh-CN"/>
              </w:rPr>
              <w:t xml:space="preserve">              6.3.2.1.6               6.3.2.1.7                 6.3.2.1.11</w:t>
            </w:r>
          </w:p>
        </w:tc>
      </w:tr>
      <w:tr w14:paraId="1FF2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0068C9CF">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48497CD3">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6.3.2.1.12</w:t>
            </w:r>
            <w:r>
              <w:rPr>
                <w:rFonts w:hint="eastAsia" w:ascii="宋体" w:hAnsi="宋体" w:cs="宋体"/>
                <w:color w:val="auto"/>
                <w:sz w:val="18"/>
                <w:szCs w:val="18"/>
                <w:lang w:val="en-US" w:eastAsia="zh-CN"/>
              </w:rPr>
              <w:t xml:space="preserve">             6.4.1.1.1               6.4.1.1.2                 6.4.1.1.9</w:t>
            </w:r>
          </w:p>
        </w:tc>
      </w:tr>
      <w:tr w14:paraId="3112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733CFB8B">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650F01EB">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6.4.2.1.2</w:t>
            </w:r>
            <w:r>
              <w:rPr>
                <w:rFonts w:hint="eastAsia" w:ascii="宋体" w:hAnsi="宋体" w:cs="宋体"/>
                <w:color w:val="auto"/>
                <w:sz w:val="18"/>
                <w:szCs w:val="18"/>
                <w:lang w:val="en-US" w:eastAsia="zh-CN"/>
              </w:rPr>
              <w:t xml:space="preserve">              6.4.2.1.3               6.4.2.1.4                 6.4.2.1.7</w:t>
            </w:r>
          </w:p>
        </w:tc>
      </w:tr>
      <w:tr w14:paraId="2AA7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13447C7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563FE8AF">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6.5.1.1.1</w:t>
            </w:r>
            <w:r>
              <w:rPr>
                <w:rFonts w:hint="eastAsia" w:ascii="宋体" w:hAnsi="宋体" w:cs="宋体"/>
                <w:color w:val="auto"/>
                <w:sz w:val="18"/>
                <w:szCs w:val="18"/>
                <w:lang w:val="en-US" w:eastAsia="zh-CN"/>
              </w:rPr>
              <w:t xml:space="preserve">              6.5.1.1.2               6.5.1.1.3                 6.5.1.1.4</w:t>
            </w:r>
          </w:p>
        </w:tc>
      </w:tr>
      <w:tr w14:paraId="7E5B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4B61813F">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1A340D6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6.5.1.1.5</w:t>
            </w:r>
            <w:r>
              <w:rPr>
                <w:rFonts w:hint="eastAsia" w:ascii="宋体" w:hAnsi="宋体" w:cs="宋体"/>
                <w:color w:val="auto"/>
                <w:sz w:val="18"/>
                <w:szCs w:val="18"/>
                <w:lang w:val="en-US" w:eastAsia="zh-CN"/>
              </w:rPr>
              <w:t xml:space="preserve">              6.5.2.1.1               6.5.2.1.2                 6.5.2.1.3</w:t>
            </w:r>
          </w:p>
        </w:tc>
      </w:tr>
      <w:tr w14:paraId="2F2F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24AACD69">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1D842AEE">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6.5.4.1.1</w:t>
            </w:r>
            <w:r>
              <w:rPr>
                <w:rFonts w:hint="eastAsia" w:ascii="宋体" w:hAnsi="宋体" w:cs="宋体"/>
                <w:color w:val="auto"/>
                <w:sz w:val="18"/>
                <w:szCs w:val="18"/>
                <w:lang w:val="en-US" w:eastAsia="zh-CN"/>
              </w:rPr>
              <w:t xml:space="preserve">              6.5.4.1.2               6.5.4.1.3                 6.5.4.1.4</w:t>
            </w:r>
          </w:p>
        </w:tc>
      </w:tr>
      <w:tr w14:paraId="2E1B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607E9DAB">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56752A45">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6.6.2.1.1</w:t>
            </w:r>
            <w:r>
              <w:rPr>
                <w:rFonts w:hint="eastAsia" w:ascii="宋体" w:hAnsi="宋体" w:cs="宋体"/>
                <w:color w:val="auto"/>
                <w:sz w:val="18"/>
                <w:szCs w:val="18"/>
                <w:lang w:val="en-US" w:eastAsia="zh-CN"/>
              </w:rPr>
              <w:t xml:space="preserve">              6.6.2.1.3               6.6.2.1.4                 6.7.1.1.6</w:t>
            </w:r>
          </w:p>
        </w:tc>
      </w:tr>
      <w:tr w14:paraId="37FF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3" w:type="dxa"/>
            <w:vMerge w:val="continue"/>
            <w:vAlign w:val="top"/>
          </w:tcPr>
          <w:p w14:paraId="4DBEB327">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8660" w:type="dxa"/>
            <w:vAlign w:val="top"/>
          </w:tcPr>
          <w:p w14:paraId="677E610E">
            <w:pPr>
              <w:jc w:val="left"/>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6.7.1.1.10</w:t>
            </w:r>
            <w:r>
              <w:rPr>
                <w:rFonts w:hint="eastAsia" w:ascii="宋体" w:hAnsi="宋体" w:cs="宋体"/>
                <w:color w:val="auto"/>
                <w:sz w:val="18"/>
                <w:szCs w:val="18"/>
                <w:lang w:val="en-US" w:eastAsia="zh-CN"/>
              </w:rPr>
              <w:t xml:space="preserve">             6.7.2.1.1</w:t>
            </w:r>
          </w:p>
        </w:tc>
      </w:tr>
    </w:tbl>
    <w:p w14:paraId="479209E7">
      <w:pPr>
        <w:rPr>
          <w:rFonts w:hint="eastAsia"/>
          <w:color w:val="auto"/>
          <w:lang w:val="en-US" w:eastAsia="zh-CN"/>
        </w:rPr>
      </w:pPr>
      <w:r>
        <w:rPr>
          <w:rFonts w:hint="eastAsia"/>
          <w:color w:val="auto"/>
          <w:lang w:val="en-US" w:eastAsia="zh-CN"/>
        </w:rPr>
        <w:br w:type="page"/>
      </w:r>
    </w:p>
    <w:p w14:paraId="7873031D">
      <w:pPr>
        <w:rPr>
          <w:rFonts w:hint="eastAsia"/>
          <w:color w:val="auto"/>
          <w:lang w:val="en-US" w:eastAsia="zh-CN"/>
        </w:rPr>
      </w:pPr>
    </w:p>
    <w:p w14:paraId="61ABE4D7">
      <w:pPr>
        <w:pStyle w:val="301"/>
        <w:numPr>
          <w:ilvl w:val="1"/>
          <w:numId w:val="0"/>
        </w:numPr>
        <w:bidi w:val="0"/>
        <w:ind w:leftChars="0"/>
        <w:jc w:val="center"/>
        <w:rPr>
          <w:rFonts w:hint="default" w:ascii="宋体" w:hAnsi="宋体" w:eastAsia="宋体" w:cs="宋体"/>
          <w:color w:val="auto"/>
          <w:spacing w:val="8"/>
          <w:szCs w:val="21"/>
          <w:highlight w:val="none"/>
          <w:lang w:val="en-US" w:eastAsia="zh-CN"/>
        </w:rPr>
      </w:pPr>
      <w:bookmarkStart w:id="631" w:name="_Toc13847"/>
      <w:bookmarkStart w:id="632" w:name="_Toc22637"/>
      <w:bookmarkStart w:id="633" w:name="_Toc29156"/>
      <w:bookmarkStart w:id="634" w:name="_Toc16696"/>
      <w:bookmarkStart w:id="635" w:name="_Toc7193"/>
      <w:bookmarkStart w:id="636" w:name="_Toc30413"/>
      <w:bookmarkStart w:id="637" w:name="_Toc734"/>
      <w:bookmarkStart w:id="638" w:name="_Toc7498"/>
      <w:bookmarkStart w:id="639" w:name="_Toc4098"/>
      <w:bookmarkStart w:id="640" w:name="_Toc4550"/>
      <w:r>
        <w:rPr>
          <w:rFonts w:hint="eastAsia"/>
          <w:color w:val="auto"/>
          <w:lang w:val="en-US" w:eastAsia="zh-CN"/>
        </w:rPr>
        <w:t>表C.2  仪器检测条款电气火灾危险性分级标准</w:t>
      </w:r>
      <w:bookmarkEnd w:id="631"/>
      <w:bookmarkEnd w:id="632"/>
      <w:bookmarkEnd w:id="633"/>
      <w:bookmarkEnd w:id="634"/>
      <w:bookmarkEnd w:id="635"/>
      <w:bookmarkEnd w:id="636"/>
      <w:bookmarkEnd w:id="637"/>
      <w:bookmarkEnd w:id="638"/>
      <w:bookmarkEnd w:id="639"/>
      <w:bookmarkEnd w:id="640"/>
    </w:p>
    <w:tbl>
      <w:tblPr>
        <w:tblStyle w:val="88"/>
        <w:tblW w:w="9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4"/>
        <w:gridCol w:w="1834"/>
        <w:gridCol w:w="1834"/>
        <w:gridCol w:w="1861"/>
        <w:gridCol w:w="2360"/>
      </w:tblGrid>
      <w:tr w14:paraId="741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660ED">
            <w:pPr>
              <w:keepNext w:val="0"/>
              <w:keepLines w:val="0"/>
              <w:pageBreakBefore w:val="0"/>
              <w:tabs>
                <w:tab w:val="left" w:pos="3998"/>
              </w:tabs>
              <w:kinsoku/>
              <w:wordWrap/>
              <w:overflowPunct/>
              <w:topLinePunct w:val="0"/>
              <w:autoSpaceDE/>
              <w:autoSpaceDN/>
              <w:bidi w:val="0"/>
              <w:adjustRightInd/>
              <w:snapToGrid/>
              <w:jc w:val="left"/>
              <w:rPr>
                <w:rFonts w:hint="eastAsia" w:ascii="宋体" w:hAnsi="宋体" w:eastAsia="宋体" w:cs="宋体"/>
                <w:i w:val="0"/>
                <w:iCs w:val="0"/>
                <w:color w:val="auto"/>
                <w:sz w:val="18"/>
                <w:szCs w:val="18"/>
                <w:highlight w:val="none"/>
                <w:u w:val="none"/>
              </w:rPr>
            </w:pPr>
            <w:r>
              <w:rPr>
                <w:rFonts w:hint="eastAsia" w:cs="Times New Roman"/>
                <w:color w:val="auto"/>
                <w:kern w:val="2"/>
                <w:sz w:val="18"/>
                <w:szCs w:val="18"/>
                <w:lang w:val="en-US" w:eastAsia="zh-CN" w:bidi="ar-SA"/>
              </w:rPr>
              <w:tab/>
            </w:r>
            <w:r>
              <w:rPr>
                <w:rFonts w:hint="eastAsia" w:ascii="宋体" w:hAnsi="宋体" w:eastAsia="宋体" w:cs="宋体"/>
                <w:i w:val="0"/>
                <w:iCs w:val="0"/>
                <w:snapToGrid w:val="0"/>
                <w:color w:val="auto"/>
                <w:kern w:val="0"/>
                <w:sz w:val="18"/>
                <w:szCs w:val="18"/>
                <w:highlight w:val="none"/>
                <w:u w:val="none"/>
                <w:lang w:val="en-US" w:eastAsia="zh-CN" w:bidi="ar"/>
              </w:rPr>
              <w:t>测试参数</w:t>
            </w:r>
          </w:p>
        </w:tc>
        <w:tc>
          <w:tcPr>
            <w:tcW w:w="5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AA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危险等级</w:t>
            </w:r>
          </w:p>
        </w:tc>
        <w:tc>
          <w:tcPr>
            <w:tcW w:w="2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18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基准值</w:t>
            </w:r>
          </w:p>
        </w:tc>
      </w:tr>
      <w:tr w14:paraId="48AA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CCC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18"/>
                <w:szCs w:val="18"/>
                <w:highlight w:val="none"/>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1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A级</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A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B级</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F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C级</w:t>
            </w:r>
          </w:p>
        </w:tc>
        <w:tc>
          <w:tcPr>
            <w:tcW w:w="2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144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18"/>
                <w:szCs w:val="18"/>
                <w:highlight w:val="none"/>
                <w:u w:val="none"/>
              </w:rPr>
            </w:pPr>
          </w:p>
        </w:tc>
      </w:tr>
      <w:tr w14:paraId="3481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温   度</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AE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BD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1.0≤β&lt;1.1</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0F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最高允许温度</w:t>
            </w:r>
          </w:p>
        </w:tc>
      </w:tr>
      <w:tr w14:paraId="70E9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   流</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0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3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1.2≤β&lt;1.3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1.1≤β&lt;1.2</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额定电流</w:t>
            </w:r>
          </w:p>
        </w:tc>
      </w:tr>
      <w:tr w14:paraId="6FDA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3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接地电阻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β≥3.0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D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2.0≤β&lt;3.0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C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1.0≤β&lt;2.0</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14:paraId="56C0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绝缘电阻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49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β≤0.5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0.5&lt;β≤0.75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5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0.75&lt;β≤1.0</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6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绝缘等级和标准规定值</w:t>
            </w:r>
          </w:p>
        </w:tc>
      </w:tr>
      <w:tr w14:paraId="7201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B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   压</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1.2≤β&lt;1.3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A2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1.1≤β&lt;1.2</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1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额定电压</w:t>
            </w:r>
          </w:p>
        </w:tc>
      </w:tr>
      <w:tr w14:paraId="016C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5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防火距离</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4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β≤0.5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6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0.5&lt;β≤0.75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2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0.75&lt;β≤1.0</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7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14:paraId="523E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66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剩余电流</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1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7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09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1.0≤β&lt;1.1</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14:paraId="7079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E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火花放电</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严重</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A9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中</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9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轻微</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相关标准规定</w:t>
            </w:r>
          </w:p>
        </w:tc>
      </w:tr>
      <w:tr w14:paraId="7B3E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B8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360" w:firstLineChars="200"/>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黑体" w:hAnsi="黑体" w:eastAsia="黑体" w:cs="黑体"/>
                <w:b w:val="0"/>
                <w:bCs w:val="0"/>
                <w:i w:val="0"/>
                <w:iCs w:val="0"/>
                <w:snapToGrid w:val="0"/>
                <w:color w:val="auto"/>
                <w:kern w:val="0"/>
                <w:sz w:val="18"/>
                <w:szCs w:val="18"/>
                <w:highlight w:val="none"/>
                <w:u w:val="none"/>
                <w:lang w:val="en-US" w:eastAsia="zh-CN" w:bidi="ar"/>
              </w:rPr>
              <w:t>注1：</w:t>
            </w:r>
            <w:r>
              <w:rPr>
                <w:rFonts w:hint="eastAsia" w:ascii="宋体" w:hAnsi="宋体" w:eastAsia="宋体" w:cs="宋体"/>
                <w:i w:val="0"/>
                <w:iCs w:val="0"/>
                <w:snapToGrid w:val="0"/>
                <w:color w:val="auto"/>
                <w:kern w:val="0"/>
                <w:sz w:val="18"/>
                <w:szCs w:val="18"/>
                <w:highlight w:val="none"/>
                <w:u w:val="none"/>
                <w:lang w:val="en-US" w:eastAsia="zh-CN" w:bidi="ar"/>
              </w:rPr>
              <w:t>β为实际测量值与基准值的比值。</w:t>
            </w:r>
          </w:p>
          <w:p w14:paraId="409001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360" w:firstLineChars="200"/>
              <w:jc w:val="left"/>
              <w:textAlignment w:val="center"/>
              <w:rPr>
                <w:rFonts w:hint="eastAsia" w:ascii="宋体" w:hAnsi="宋体" w:eastAsia="宋体" w:cs="宋体"/>
                <w:i w:val="0"/>
                <w:iCs w:val="0"/>
                <w:color w:val="auto"/>
                <w:sz w:val="21"/>
                <w:szCs w:val="21"/>
                <w:highlight w:val="none"/>
                <w:u w:val="none"/>
              </w:rPr>
            </w:pPr>
            <w:r>
              <w:rPr>
                <w:rFonts w:hint="eastAsia" w:ascii="黑体" w:hAnsi="黑体" w:eastAsia="黑体" w:cs="黑体"/>
                <w:b w:val="0"/>
                <w:bCs w:val="0"/>
                <w:i w:val="0"/>
                <w:iCs w:val="0"/>
                <w:snapToGrid w:val="0"/>
                <w:color w:val="auto"/>
                <w:kern w:val="0"/>
                <w:sz w:val="18"/>
                <w:szCs w:val="18"/>
                <w:highlight w:val="none"/>
                <w:u w:val="none"/>
                <w:lang w:val="en-US" w:eastAsia="zh-CN" w:bidi="ar"/>
              </w:rPr>
              <w:t>注2：</w:t>
            </w:r>
            <w:r>
              <w:rPr>
                <w:rFonts w:hint="eastAsia" w:ascii="宋体" w:hAnsi="宋体" w:eastAsia="宋体" w:cs="宋体"/>
                <w:i w:val="0"/>
                <w:iCs w:val="0"/>
                <w:snapToGrid w:val="0"/>
                <w:color w:val="auto"/>
                <w:kern w:val="0"/>
                <w:sz w:val="18"/>
                <w:szCs w:val="18"/>
                <w:highlight w:val="none"/>
                <w:u w:val="none"/>
                <w:lang w:val="en-US" w:eastAsia="zh-CN" w:bidi="ar"/>
              </w:rPr>
              <w:t>直观发现火花放电为"严重"</w:t>
            </w:r>
            <w:r>
              <w:rPr>
                <w:rFonts w:hint="eastAsia" w:ascii="宋体" w:hAnsi="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直观发现放电痕迹为“中"</w:t>
            </w:r>
            <w:r>
              <w:rPr>
                <w:rFonts w:hint="eastAsia" w:ascii="宋体" w:hAnsi="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直观没有发现，仪器测出有火花放电声为“轻微”。</w:t>
            </w:r>
          </w:p>
        </w:tc>
      </w:tr>
    </w:tbl>
    <w:p w14:paraId="56439B2F">
      <w:pPr>
        <w:pStyle w:val="258"/>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黑体" w:hAnsi="宋体" w:eastAsia="黑体" w:cs="黑体"/>
          <w:color w:val="auto"/>
          <w:kern w:val="0"/>
          <w:sz w:val="21"/>
          <w:szCs w:val="21"/>
          <w:lang w:val="en-US" w:eastAsia="zh-CN" w:bidi="ar"/>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5C3E2CBB">
      <w:pPr>
        <w:pStyle w:val="347"/>
        <w:bidi w:val="0"/>
        <w:ind w:left="0" w:leftChars="0" w:firstLine="0" w:firstLineChars="0"/>
        <w:rPr>
          <w:rFonts w:hint="eastAsia"/>
          <w:color w:val="auto"/>
          <w:lang w:val="en-US" w:eastAsia="zh-CN"/>
        </w:rPr>
      </w:pPr>
      <w:bookmarkStart w:id="641" w:name="_Toc22131"/>
      <w:bookmarkStart w:id="642" w:name="_Toc16905"/>
      <w:bookmarkStart w:id="643" w:name="_Toc21127"/>
      <w:bookmarkStart w:id="644" w:name="_Toc29272"/>
      <w:bookmarkStart w:id="645" w:name="_Toc11230"/>
      <w:bookmarkStart w:id="646" w:name="附录头部信息书签_4"/>
      <w:bookmarkStart w:id="647" w:name="_Toc24561"/>
      <w:bookmarkStart w:id="648" w:name="_Toc7910"/>
      <w:bookmarkStart w:id="649" w:name="_Toc12155"/>
    </w:p>
    <w:p w14:paraId="2E37819D">
      <w:pPr>
        <w:pStyle w:val="348"/>
        <w:bidi w:val="0"/>
        <w:ind w:left="0" w:leftChars="0" w:firstLine="0" w:firstLineChars="0"/>
        <w:rPr>
          <w:rFonts w:hint="eastAsia"/>
          <w:color w:val="auto"/>
          <w:lang w:val="en-US" w:eastAsia="zh-CN"/>
        </w:rPr>
      </w:pPr>
    </w:p>
    <w:bookmarkEnd w:id="641"/>
    <w:bookmarkEnd w:id="642"/>
    <w:bookmarkEnd w:id="643"/>
    <w:bookmarkEnd w:id="644"/>
    <w:bookmarkEnd w:id="645"/>
    <w:bookmarkEnd w:id="646"/>
    <w:bookmarkEnd w:id="647"/>
    <w:bookmarkEnd w:id="648"/>
    <w:bookmarkEnd w:id="649"/>
    <w:p w14:paraId="690F5928">
      <w:pPr>
        <w:pStyle w:val="274"/>
        <w:bidi w:val="0"/>
        <w:jc w:val="center"/>
        <w:rPr>
          <w:rFonts w:hint="eastAsia"/>
          <w:color w:val="auto"/>
          <w:lang w:val="en-US" w:eastAsia="zh-CN"/>
        </w:rPr>
      </w:pPr>
      <w:bookmarkStart w:id="650" w:name="_Toc22526"/>
      <w:bookmarkStart w:id="651" w:name="_Toc20851"/>
      <w:bookmarkStart w:id="652" w:name="_Toc15987"/>
      <w:bookmarkStart w:id="653" w:name="_Toc26824"/>
      <w:bookmarkStart w:id="654" w:name="_Toc28089"/>
      <w:bookmarkStart w:id="655" w:name="_Toc32380"/>
      <w:bookmarkStart w:id="656" w:name="_Toc14997"/>
      <w:bookmarkStart w:id="657" w:name="_Toc11296"/>
      <w:bookmarkStart w:id="658" w:name="_Toc10107"/>
      <w:bookmarkStart w:id="659" w:name="_Toc11272"/>
      <w:bookmarkStart w:id="660" w:name="附录头部信息书签_5"/>
      <w:bookmarkStart w:id="661" w:name="_Toc19521"/>
      <w:bookmarkStart w:id="662" w:name="_Toc19888"/>
      <w:r>
        <w:rPr>
          <w:rFonts w:hint="eastAsia"/>
          <w:color w:val="auto"/>
          <w:lang w:val="en-US" w:eastAsia="zh-CN"/>
        </w:rPr>
        <w:br w:type="textWrapping"/>
      </w:r>
      <w:r>
        <w:rPr>
          <w:rFonts w:hint="eastAsia"/>
          <w:color w:val="auto"/>
          <w:lang w:val="en-US" w:eastAsia="zh-CN"/>
        </w:rPr>
        <w:t>（规范性）</w:t>
      </w:r>
      <w:r>
        <w:rPr>
          <w:rFonts w:hint="eastAsia"/>
          <w:color w:val="auto"/>
          <w:lang w:val="en-US" w:eastAsia="zh-CN"/>
        </w:rPr>
        <w:br w:type="textWrapping"/>
      </w:r>
      <w:r>
        <w:rPr>
          <w:rFonts w:hint="eastAsia"/>
          <w:color w:val="auto"/>
          <w:lang w:val="en-US" w:eastAsia="zh-CN"/>
        </w:rPr>
        <w:t>特殊场所检测要求</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6A723AB4">
      <w:pPr>
        <w:pStyle w:val="275"/>
        <w:bidi w:val="0"/>
        <w:rPr>
          <w:rFonts w:hint="default"/>
          <w:color w:val="auto"/>
          <w:lang w:val="en-US" w:eastAsia="zh-CN"/>
        </w:rPr>
      </w:pPr>
      <w:bookmarkStart w:id="663" w:name="_Toc24638"/>
      <w:bookmarkStart w:id="664" w:name="_Toc5087"/>
      <w:bookmarkStart w:id="665" w:name="_Toc26479"/>
      <w:bookmarkStart w:id="666" w:name="_Toc28857"/>
      <w:bookmarkStart w:id="667" w:name="_Toc30294"/>
      <w:bookmarkStart w:id="668" w:name="_Toc21343"/>
      <w:bookmarkStart w:id="669" w:name="_Toc5209"/>
      <w:bookmarkStart w:id="670" w:name="_Toc7175"/>
      <w:bookmarkStart w:id="671" w:name="_Toc31024"/>
      <w:bookmarkStart w:id="672" w:name="_Toc3281"/>
      <w:r>
        <w:rPr>
          <w:rFonts w:hint="eastAsia"/>
          <w:color w:val="auto"/>
          <w:lang w:val="en-US" w:eastAsia="zh-CN"/>
        </w:rPr>
        <w:t>特殊场所检测要求表</w:t>
      </w:r>
      <w:bookmarkEnd w:id="663"/>
      <w:bookmarkEnd w:id="664"/>
      <w:bookmarkEnd w:id="665"/>
      <w:bookmarkEnd w:id="666"/>
      <w:bookmarkEnd w:id="667"/>
      <w:bookmarkEnd w:id="668"/>
      <w:bookmarkEnd w:id="669"/>
      <w:bookmarkEnd w:id="670"/>
      <w:bookmarkEnd w:id="671"/>
      <w:bookmarkEnd w:id="672"/>
    </w:p>
    <w:tbl>
      <w:tblPr>
        <w:tblStyle w:val="89"/>
        <w:tblpPr w:leftFromText="180" w:rightFromText="180" w:vertAnchor="text" w:horzAnchor="page" w:tblpXSpec="center" w:tblpY="280"/>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41"/>
        <w:gridCol w:w="8194"/>
      </w:tblGrid>
      <w:tr w14:paraId="01D8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77" w:type="dxa"/>
            <w:gridSpan w:val="2"/>
            <w:vAlign w:val="center"/>
          </w:tcPr>
          <w:p w14:paraId="03912FE4">
            <w:pPr>
              <w:keepNext w:val="0"/>
              <w:keepLines w:val="0"/>
              <w:pageBreakBefore w:val="0"/>
              <w:widowControl w:val="0"/>
              <w:tabs>
                <w:tab w:val="right" w:leader="dot" w:pos="9337"/>
              </w:tabs>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检测内容</w:t>
            </w:r>
          </w:p>
        </w:tc>
        <w:tc>
          <w:tcPr>
            <w:tcW w:w="8194" w:type="dxa"/>
            <w:vAlign w:val="center"/>
          </w:tcPr>
          <w:p w14:paraId="0295E7EF">
            <w:pPr>
              <w:keepNext w:val="0"/>
              <w:keepLines w:val="0"/>
              <w:pageBreakBefore w:val="0"/>
              <w:widowControl w:val="0"/>
              <w:tabs>
                <w:tab w:val="right" w:leader="dot" w:pos="9337"/>
              </w:tabs>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检测要求</w:t>
            </w:r>
          </w:p>
        </w:tc>
      </w:tr>
      <w:tr w14:paraId="4386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14:paraId="1CDD378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公共</w:t>
            </w:r>
          </w:p>
          <w:p w14:paraId="204FE89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娱乐</w:t>
            </w:r>
          </w:p>
          <w:p w14:paraId="77ED43E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场所</w:t>
            </w:r>
          </w:p>
        </w:tc>
        <w:tc>
          <w:tcPr>
            <w:tcW w:w="741" w:type="dxa"/>
            <w:vMerge w:val="restart"/>
            <w:vAlign w:val="center"/>
          </w:tcPr>
          <w:p w14:paraId="6C2F41C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w:t>
            </w:r>
          </w:p>
          <w:p w14:paraId="474BB61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箱</w:t>
            </w:r>
          </w:p>
        </w:tc>
        <w:tc>
          <w:tcPr>
            <w:tcW w:w="8194" w:type="dxa"/>
            <w:vAlign w:val="center"/>
          </w:tcPr>
          <w:p w14:paraId="155E3D8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在使用低于B1级装修材料的房间内，配电箱和开关箱应采用不燃材料制作；其壳体和底板应采用A级材料。 </w:t>
            </w:r>
          </w:p>
        </w:tc>
      </w:tr>
      <w:tr w14:paraId="7FA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523016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62240432">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5A2667F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配电箱（盘）和开关箱周边0.3m内，不应有可燃物；箱门操作方便，应与周围环境有明显区别且不应被遮挡；箱体内和下方，不应搁置和堆放可燃物。</w:t>
            </w:r>
          </w:p>
        </w:tc>
      </w:tr>
      <w:tr w14:paraId="4286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DFC3AD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F5D67F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62F37A3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照明配电箱（盘）内，应分别设置中性导体（N）和保护接地导体（PE）汇流排，中性导体（N）和保护接地导体（PE）应分别经各自的汇流排配出，不应铰接或交错混配。</w:t>
            </w:r>
          </w:p>
        </w:tc>
      </w:tr>
      <w:tr w14:paraId="102E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7C71E6A">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46AD7DE5">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14:paraId="6434D5F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8194" w:type="dxa"/>
            <w:vAlign w:val="center"/>
          </w:tcPr>
          <w:p w14:paraId="6FE0EE6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线路敷设应采用铜芯绝缘导线，其最小截面不应小于1.5㎟。 </w:t>
            </w:r>
          </w:p>
        </w:tc>
      </w:tr>
      <w:tr w14:paraId="7488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6AF4ADC9">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4C5CAFC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30B84D1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室内的配电线路宜采用金属管暗敷在墙内；当明敷时，所有配电线路应穿金属管（槽）保护，导线不应外露；横穿通道地面的导线应采取固定的机械保护措施。 </w:t>
            </w:r>
          </w:p>
        </w:tc>
      </w:tr>
      <w:tr w14:paraId="0C0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6652A717">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16519B1">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4A74F85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不应擅自拉接临时电气线路。</w:t>
            </w:r>
          </w:p>
        </w:tc>
      </w:tr>
      <w:tr w14:paraId="4AA3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0B7D94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540C1CC1">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368B82A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移动式灯具的电源线，应采用橡胶绝缘软线，其长度不宜大于2m。 </w:t>
            </w:r>
          </w:p>
        </w:tc>
      </w:tr>
      <w:tr w14:paraId="69A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E1F688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053552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795FCE5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灯具、开关、插座、吊扇、壁扇等电器安装处应设置接线盒，导线的接头应在盒内压接。 </w:t>
            </w:r>
          </w:p>
        </w:tc>
      </w:tr>
      <w:tr w14:paraId="0FB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263281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0593083A">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513C1CE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建筑物吊顶部位的灯槽布线应等同于闷顶内布线。当有可燃物时应穿金属管保护。若受条件限制局部不能穿金属管时，可穿金属软管，其长度不应大于2m，导线不应裸露。无可燃物时可穿B1级刚性塑料管保护。</w:t>
            </w:r>
          </w:p>
        </w:tc>
      </w:tr>
      <w:tr w14:paraId="0DC4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652B06A">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0091B12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插座</w:t>
            </w:r>
          </w:p>
        </w:tc>
        <w:tc>
          <w:tcPr>
            <w:tcW w:w="8194" w:type="dxa"/>
            <w:vAlign w:val="center"/>
          </w:tcPr>
          <w:p w14:paraId="119EDA3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地面安装插座应采用专用产品，保护盖板固定牢靠，密封严实。</w:t>
            </w:r>
          </w:p>
        </w:tc>
      </w:tr>
      <w:tr w14:paraId="3542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6DA03E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0D1880BC">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5EF50E6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插座、开关靠近可燃物或安装在可燃结构上时，应采取隔热、散热等保护措施。暗装插座、 开关应采用专用接线盒，面板紧贴墙面，四周无缝隙。 </w:t>
            </w:r>
          </w:p>
        </w:tc>
      </w:tr>
      <w:tr w14:paraId="0DC7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3450B40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6DEA7F8A">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5DA5E6F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安装在B1级以下（含B1级）装修材料内的插座、开关，应采用防火封堵密封件或具有良好隔热性能的A级材料隔绝。</w:t>
            </w:r>
          </w:p>
        </w:tc>
      </w:tr>
      <w:tr w14:paraId="0F3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922093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5B4310CB">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211A998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额定电压低的插头不应插入额定电压高的插座，额定电流高的插头不应插入额定电流低的插座，插头不应与带电极数不同的插座相互插合（如单相与三相插头插座）。</w:t>
            </w:r>
          </w:p>
        </w:tc>
      </w:tr>
      <w:tr w14:paraId="628C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745E1B0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52E98555">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75583DB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移动式插座应符合下列规定： </w:t>
            </w:r>
          </w:p>
          <w:p w14:paraId="5165124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a) 多功能移动插座电源线应采用铜芯电缆或护套软线，其软缆或软线的截面积，应与插座额定值相匹配，绝缘无磨损，导线无外露现象，其长度不宜超过2m； </w:t>
            </w:r>
          </w:p>
          <w:p w14:paraId="1E4C070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b) 应具有保护接地导体（PE）； </w:t>
            </w:r>
          </w:p>
          <w:p w14:paraId="596FB69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c) 不应放置在可燃物上或被可燃物覆盖； </w:t>
            </w:r>
          </w:p>
          <w:p w14:paraId="1D8B2AD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d) 不应串接使用； </w:t>
            </w:r>
          </w:p>
          <w:p w14:paraId="5A84C0C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e) 不应超负荷使用。</w:t>
            </w:r>
          </w:p>
        </w:tc>
      </w:tr>
      <w:tr w14:paraId="3E88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B9F088C">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tcPr>
          <w:p w14:paraId="73B8D59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照明</w:t>
            </w:r>
          </w:p>
          <w:p w14:paraId="1F7701E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装置</w:t>
            </w:r>
          </w:p>
          <w:p w14:paraId="518A065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和</w:t>
            </w:r>
          </w:p>
          <w:p w14:paraId="3824E32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一般</w:t>
            </w:r>
          </w:p>
          <w:p w14:paraId="7FF32F7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低压</w:t>
            </w:r>
          </w:p>
          <w:p w14:paraId="67233E6A">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14:paraId="488B6EA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8194" w:type="dxa"/>
          </w:tcPr>
          <w:p w14:paraId="10C6BB5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照明灯具（含变压器、镇流器）不应直接安装在可燃装修材料或可燃构件上。当灯具的高温部位靠近非A级装修材料或构件时，应采取隔热（如用玻璃丝、石棉布、石棉垫板等加以隔热防护）、散热（如在灯具上增加散热空隙或加强顶棚内通风降温，与可燃物保持一定距离）等防火保护措施。灯饰所用材料的燃烧性能等级不应低于难燃性（B1级）等级。 </w:t>
            </w:r>
          </w:p>
        </w:tc>
      </w:tr>
      <w:tr w14:paraId="43EA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C3FA90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3F78E0A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9785FB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嵌入式灯具、贴顶灯具以及光檐（槽灯）照明，当采用卤钨灯以及单灯功率超过100W的白炽灯时，灯具（或灯）引入线应选用105℃～250℃耐热绝缘电线。绝缘导线应采用柔性导管保护，不应裸露且不应在灯槽内明敷，柔性导管与灯具壳体应采用专用接头连接。</w:t>
            </w:r>
          </w:p>
        </w:tc>
      </w:tr>
      <w:tr w14:paraId="37DD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CE36FE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D1CF5C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7D571A3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聚光灯、回光灯、炭精灯不应安装在可燃基座上，灯头的尾线应用耐高温线或瓷套管保护。配线接点应设在金属接线盒内。 </w:t>
            </w:r>
          </w:p>
        </w:tc>
      </w:tr>
      <w:tr w14:paraId="2C34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9199B2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442675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6BB4D1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照明灯具及其附件应无异常高温和火花放电现象。 </w:t>
            </w:r>
          </w:p>
        </w:tc>
      </w:tr>
      <w:tr w14:paraId="15B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B09495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2BAB31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7FC115A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灯具附件（镇流器等）的最高允许温度不应超过给定tw值，如没有标注tw值时，其最高允许温度不应超过95℃（内有衬纸）和85℃（内无衬纸）；电子镇流器外壳的最高允许温度不应超过tc值，如没有标注tc值时，其最高允许温度不应超过50℃。</w:t>
            </w:r>
          </w:p>
        </w:tc>
      </w:tr>
      <w:tr w14:paraId="0109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C7B9D3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0F04BCC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0C5F890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低压断路器、低压隔离开关、刀开关、熔断器和剩余电流动作保护器的各接线端子不应有电弧。</w:t>
            </w:r>
          </w:p>
        </w:tc>
      </w:tr>
      <w:tr w14:paraId="539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14:paraId="19B8C405">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大型</w:t>
            </w:r>
          </w:p>
          <w:p w14:paraId="1206E099">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文艺</w:t>
            </w:r>
          </w:p>
          <w:p w14:paraId="3F9EC0EF">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演出</w:t>
            </w:r>
          </w:p>
          <w:p w14:paraId="5417140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场所</w:t>
            </w:r>
          </w:p>
          <w:p w14:paraId="6C70931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p>
          <w:p w14:paraId="3843D3F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w:t>
            </w:r>
          </w:p>
        </w:tc>
        <w:tc>
          <w:tcPr>
            <w:tcW w:w="741" w:type="dxa"/>
            <w:vMerge w:val="restart"/>
            <w:vAlign w:val="center"/>
          </w:tcPr>
          <w:p w14:paraId="664A2C1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w:t>
            </w:r>
          </w:p>
          <w:p w14:paraId="651F33B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箱</w:t>
            </w:r>
          </w:p>
        </w:tc>
        <w:tc>
          <w:tcPr>
            <w:tcW w:w="8194" w:type="dxa"/>
          </w:tcPr>
          <w:p w14:paraId="7EEDAD7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室内临时配电箱应固定牢固，各回路断路器和保护电器应设置在封闭的金属配电箱内。</w:t>
            </w:r>
          </w:p>
        </w:tc>
      </w:tr>
      <w:tr w14:paraId="130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156BEB0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5C05F36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5E1A2B7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室外配电箱应有防雨雪措施，进出线口应设在箱体的下方。 </w:t>
            </w:r>
          </w:p>
        </w:tc>
      </w:tr>
      <w:tr w14:paraId="09F4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862166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0DCD538E">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14:paraId="74E3778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8194" w:type="dxa"/>
          </w:tcPr>
          <w:p w14:paraId="2F90664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线路沿建筑物敷设时应固定牢固。 </w:t>
            </w:r>
          </w:p>
        </w:tc>
      </w:tr>
      <w:tr w14:paraId="34D0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C7E0EA7">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32EF81E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22B4DC6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室内临时线路应使用橡套绝缘软线，导线在横穿通道地面处应有防机械损伤措施。 </w:t>
            </w:r>
          </w:p>
        </w:tc>
      </w:tr>
      <w:tr w14:paraId="15F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A37D44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0CE5F93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C77610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导线的连接点均应使用插件或专用连接器连接；应有防止导线连接点直接承受拉力的措施。 </w:t>
            </w:r>
          </w:p>
        </w:tc>
      </w:tr>
      <w:tr w14:paraId="17A1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62CD0E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8139357">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282AEC2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橡套绝缘软线不宜盘绕在一起放置，否则应采取通风散热措施。 </w:t>
            </w:r>
          </w:p>
        </w:tc>
      </w:tr>
      <w:tr w14:paraId="1FBC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1942DE9">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3897E97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6FEB9D6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一般情况，中性导体截面应与相导体截面相等。当有可控硅调光装置时，中性导体截面积不宜小于相导体截面积的2倍。 </w:t>
            </w:r>
          </w:p>
        </w:tc>
      </w:tr>
      <w:tr w14:paraId="3490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36" w:type="dxa"/>
            <w:vMerge w:val="continue"/>
          </w:tcPr>
          <w:p w14:paraId="20D03A3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67DFFEC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照明</w:t>
            </w:r>
          </w:p>
          <w:p w14:paraId="63E3683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装置</w:t>
            </w:r>
          </w:p>
          <w:p w14:paraId="0FF4C8E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和</w:t>
            </w:r>
          </w:p>
          <w:p w14:paraId="43C1F7D2">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一般</w:t>
            </w:r>
          </w:p>
          <w:p w14:paraId="0E44E838">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低压</w:t>
            </w:r>
          </w:p>
          <w:p w14:paraId="170F526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14:paraId="6928566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设备</w:t>
            </w:r>
          </w:p>
          <w:p w14:paraId="713EB7F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2FDCE74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固定在移动构架上的灯具，其导线应有防止机械损伤措施；当移动构架时，导线不应承受拉力和遭受磨损。</w:t>
            </w:r>
          </w:p>
        </w:tc>
      </w:tr>
      <w:tr w14:paraId="3563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6" w:type="dxa"/>
            <w:vMerge w:val="continue"/>
          </w:tcPr>
          <w:p w14:paraId="01EFA0D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24B53B9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1EF27C0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固定构架上的灯具应采用专用支架与构架固定牢固。</w:t>
            </w:r>
          </w:p>
        </w:tc>
      </w:tr>
      <w:tr w14:paraId="5725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3EEA3BD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131990D">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6FA36F0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用于舞台效果的灯具，其灯头引线均应采用耐高温导线或穿瓷管保护，再经接线柱与灯具连接，导线不应靠近灯具表面。 </w:t>
            </w:r>
          </w:p>
        </w:tc>
      </w:tr>
      <w:tr w14:paraId="5013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427158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490246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4A9B24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灯具附件（镇流器等）的最高允许温度不应超过给定tw值，如没有标注tw值时，其最高允许温度不应超过（内有衬纸）95℃和（内无衬纸）85℃；电子镇流器外壳的最高允许温度不应超过tc值，如没有标注tc值时，其最高允许温度不应超过50℃。 </w:t>
            </w:r>
          </w:p>
        </w:tc>
      </w:tr>
      <w:tr w14:paraId="1763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Merge w:val="restart"/>
            <w:vAlign w:val="center"/>
          </w:tcPr>
          <w:p w14:paraId="515E086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轨道交通</w:t>
            </w:r>
          </w:p>
          <w:p w14:paraId="6FB9C4A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cs="宋体"/>
                <w:snapToGrid/>
                <w:color w:val="auto"/>
                <w:kern w:val="0"/>
                <w:position w:val="-2"/>
                <w:sz w:val="18"/>
                <w:szCs w:val="18"/>
                <w:vertAlign w:val="baseline"/>
                <w:lang w:val="en-US" w:eastAsia="zh-CN" w:bidi="ar-SA"/>
              </w:rPr>
              <w:t>车站、隧道</w:t>
            </w:r>
          </w:p>
        </w:tc>
        <w:tc>
          <w:tcPr>
            <w:tcW w:w="741" w:type="dxa"/>
            <w:vMerge w:val="restart"/>
            <w:vAlign w:val="center"/>
          </w:tcPr>
          <w:p w14:paraId="0D223AD3">
            <w:pPr>
              <w:keepNext w:val="0"/>
              <w:keepLines w:val="0"/>
              <w:pageBreakBefore w:val="0"/>
              <w:widowControl w:val="0"/>
              <w:tabs>
                <w:tab w:val="right" w:leader="dot" w:pos="9337"/>
              </w:tabs>
              <w:wordWrap/>
              <w:overflowPunct/>
              <w:topLinePunct w:val="0"/>
              <w:bidi w:val="0"/>
              <w:jc w:val="center"/>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position w:val="-2"/>
                <w:sz w:val="18"/>
                <w:szCs w:val="18"/>
              </w:rPr>
              <w:t>400V及以下配电箱/柜</w:t>
            </w:r>
          </w:p>
        </w:tc>
        <w:tc>
          <w:tcPr>
            <w:tcW w:w="8194" w:type="dxa"/>
            <w:vAlign w:val="top"/>
          </w:tcPr>
          <w:p w14:paraId="7509E5AE">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紧固配电箱/柜内接线排，检查线束应无脱落破损，线路 无虚接，接线端子螺丝应无过热、烧伤、氧化。</w:t>
            </w:r>
          </w:p>
        </w:tc>
      </w:tr>
      <w:tr w14:paraId="7803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36" w:type="dxa"/>
            <w:vMerge w:val="continue"/>
            <w:vAlign w:val="center"/>
          </w:tcPr>
          <w:p w14:paraId="2FEA6D3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10AE4F1A">
            <w:pPr>
              <w:keepNext w:val="0"/>
              <w:keepLines w:val="0"/>
              <w:pageBreakBefore w:val="0"/>
              <w:widowControl w:val="0"/>
              <w:tabs>
                <w:tab w:val="right" w:leader="dot" w:pos="9337"/>
              </w:tabs>
              <w:wordWrap/>
              <w:overflowPunct/>
              <w:topLinePunct w:val="0"/>
              <w:bidi w:val="0"/>
              <w:spacing w:line="312" w:lineRule="auto"/>
              <w:jc w:val="center"/>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740D98D3">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手动触发漏电保护装置，应可靠动作并断电。</w:t>
            </w:r>
          </w:p>
        </w:tc>
      </w:tr>
      <w:tr w14:paraId="0C78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6" w:type="dxa"/>
            <w:vMerge w:val="continue"/>
            <w:vAlign w:val="center"/>
          </w:tcPr>
          <w:p w14:paraId="6C3F23DA">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5613F005">
            <w:pPr>
              <w:keepNext w:val="0"/>
              <w:keepLines w:val="0"/>
              <w:pageBreakBefore w:val="0"/>
              <w:widowControl w:val="0"/>
              <w:tabs>
                <w:tab w:val="right" w:leader="dot" w:pos="9337"/>
              </w:tabs>
              <w:wordWrap/>
              <w:overflowPunct/>
              <w:topLinePunct w:val="0"/>
              <w:bidi w:val="0"/>
              <w:spacing w:line="312" w:lineRule="auto"/>
              <w:jc w:val="center"/>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4F1960EF">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检查箱/柜体的接地电阻应正常；检查母线排对地绝缘电阻应不低于 0.5MΩ。</w:t>
            </w:r>
          </w:p>
        </w:tc>
      </w:tr>
      <w:tr w14:paraId="3AB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3E271E9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1DAA4F76">
            <w:pPr>
              <w:keepNext w:val="0"/>
              <w:keepLines w:val="0"/>
              <w:pageBreakBefore w:val="0"/>
              <w:widowControl/>
              <w:wordWrap/>
              <w:overflowPunct/>
              <w:topLinePunct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1500V开关柜</w:t>
            </w:r>
          </w:p>
        </w:tc>
        <w:tc>
          <w:tcPr>
            <w:tcW w:w="8194" w:type="dxa"/>
            <w:vAlign w:val="center"/>
          </w:tcPr>
          <w:p w14:paraId="350E0E30">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检查</w:t>
            </w:r>
            <w:r>
              <w:rPr>
                <w:rFonts w:hint="eastAsia" w:ascii="宋体" w:hAnsi="宋体" w:eastAsia="宋体" w:cs="宋体"/>
                <w:color w:val="auto"/>
                <w:sz w:val="18"/>
                <w:szCs w:val="18"/>
              </w:rPr>
              <w:t>柜内设备，各部件、表计、指示灯表面，尤其是绝缘部件应清洁干净，无烧伤放电痕迹。</w:t>
            </w:r>
          </w:p>
        </w:tc>
      </w:tr>
      <w:tr w14:paraId="5D47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0E9A5193">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top"/>
          </w:tcPr>
          <w:p w14:paraId="68FBC24E">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p>
        </w:tc>
        <w:tc>
          <w:tcPr>
            <w:tcW w:w="8194" w:type="dxa"/>
            <w:vAlign w:val="center"/>
          </w:tcPr>
          <w:p w14:paraId="19A614A0">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检查</w:t>
            </w:r>
            <w:r>
              <w:rPr>
                <w:rFonts w:hint="eastAsia" w:ascii="宋体" w:hAnsi="宋体" w:eastAsia="宋体" w:cs="宋体"/>
                <w:color w:val="auto"/>
                <w:sz w:val="18"/>
                <w:szCs w:val="18"/>
              </w:rPr>
              <w:t>隔离开关动静触头无烧蚀痕迹。</w:t>
            </w:r>
          </w:p>
        </w:tc>
      </w:tr>
      <w:tr w14:paraId="73A1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65186ABB">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top"/>
          </w:tcPr>
          <w:p w14:paraId="63041398">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线缆、桥架</w:t>
            </w:r>
          </w:p>
        </w:tc>
        <w:tc>
          <w:tcPr>
            <w:tcW w:w="8194" w:type="dxa"/>
            <w:vAlign w:val="top"/>
          </w:tcPr>
          <w:p w14:paraId="1AAE8652">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检查线缆外观无破损、无龟裂，桥架应固定牢固。</w:t>
            </w:r>
          </w:p>
        </w:tc>
      </w:tr>
      <w:tr w14:paraId="379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0D33813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top"/>
          </w:tcPr>
          <w:p w14:paraId="63EA62D9">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p>
        </w:tc>
        <w:tc>
          <w:tcPr>
            <w:tcW w:w="8194" w:type="dxa"/>
            <w:vAlign w:val="top"/>
          </w:tcPr>
          <w:p w14:paraId="35640F83">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检查桥架连接线应正常。</w:t>
            </w:r>
          </w:p>
        </w:tc>
      </w:tr>
      <w:tr w14:paraId="33DD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14:paraId="1BB120DA">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文物场所</w:t>
            </w:r>
          </w:p>
        </w:tc>
        <w:tc>
          <w:tcPr>
            <w:tcW w:w="741" w:type="dxa"/>
            <w:vMerge w:val="restart"/>
            <w:vAlign w:val="center"/>
          </w:tcPr>
          <w:p w14:paraId="4C555C9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变配电设备</w:t>
            </w:r>
          </w:p>
        </w:tc>
        <w:tc>
          <w:tcPr>
            <w:tcW w:w="8194" w:type="dxa"/>
            <w:vAlign w:val="center"/>
          </w:tcPr>
          <w:p w14:paraId="6D92B31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文物场所</w:t>
            </w:r>
            <w:r>
              <w:rPr>
                <w:rFonts w:hint="eastAsia" w:ascii="宋体" w:hAnsi="宋体" w:eastAsia="宋体" w:cs="宋体"/>
                <w:color w:val="auto"/>
                <w:sz w:val="18"/>
                <w:szCs w:val="18"/>
                <w:lang w:val="en-US" w:eastAsia="zh-CN"/>
              </w:rPr>
              <w:t>宜选择</w:t>
            </w:r>
            <w:r>
              <w:rPr>
                <w:rFonts w:hint="eastAsia" w:ascii="宋体" w:hAnsi="宋体" w:eastAsia="宋体" w:cs="宋体"/>
                <w:color w:val="auto"/>
                <w:sz w:val="18"/>
                <w:szCs w:val="18"/>
              </w:rPr>
              <w:t>干式变压器</w:t>
            </w:r>
            <w:r>
              <w:rPr>
                <w:rFonts w:hint="eastAsia" w:ascii="宋体" w:hAnsi="宋体" w:eastAsia="宋体" w:cs="宋体"/>
                <w:color w:val="auto"/>
                <w:sz w:val="18"/>
                <w:szCs w:val="18"/>
                <w:lang w:val="en-US" w:eastAsia="zh-CN"/>
              </w:rPr>
              <w:t>或</w:t>
            </w:r>
            <w:r>
              <w:rPr>
                <w:rFonts w:hint="eastAsia" w:ascii="宋体" w:hAnsi="宋体" w:eastAsia="宋体" w:cs="宋体"/>
                <w:color w:val="auto"/>
                <w:sz w:val="18"/>
                <w:szCs w:val="18"/>
              </w:rPr>
              <w:t>预装式变电站。</w:t>
            </w:r>
          </w:p>
        </w:tc>
      </w:tr>
      <w:tr w14:paraId="4092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14:paraId="7E364878">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3ADBACD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2B00A8C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变压器与文物建筑本体、可燃物应保持足够的安全距离。</w:t>
            </w:r>
          </w:p>
        </w:tc>
      </w:tr>
      <w:tr w14:paraId="41F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62CE238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39DC79D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326A886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文物建筑的配电箱外壳应为金属外壳，箱体电气防护等级室内不应低于IP54，室外不应低于IP65。</w:t>
            </w:r>
          </w:p>
        </w:tc>
      </w:tr>
      <w:tr w14:paraId="274F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CF6DC85">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66F2C81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409BD22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配电设备不应安装在明火和热源附近，亦不应安装在木质等可燃构件上。配电设备外壳距可燃构件不应小于0.3m。</w:t>
            </w:r>
          </w:p>
        </w:tc>
      </w:tr>
      <w:tr w14:paraId="48D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369FE8E">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56AFAEC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14:paraId="432AC272">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8194" w:type="dxa"/>
            <w:vAlign w:val="top"/>
          </w:tcPr>
          <w:p w14:paraId="60AA44D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配电线路应设置与电气设备相匹配的短路、过载保护装置。</w:t>
            </w:r>
          </w:p>
        </w:tc>
      </w:tr>
      <w:tr w14:paraId="1903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D8390AB">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4A25D8B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1659742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配电线路的保护导体或保护接地中性导体应在进入文物建筑时接地，进入文物建筑后的配电线路N线与PE线应严格分开。</w:t>
            </w:r>
          </w:p>
        </w:tc>
      </w:tr>
      <w:tr w14:paraId="57AB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CC20CD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BFAA08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677B2A5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color w:val="auto"/>
                <w:kern w:val="0"/>
                <w:position w:val="-2"/>
                <w:sz w:val="18"/>
                <w:szCs w:val="18"/>
                <w:vertAlign w:val="baseline"/>
                <w:lang w:val="en-US" w:eastAsia="zh-CN" w:bidi="ar-SA"/>
              </w:rPr>
              <w:t>设备和管线的安装应避开潮湿部位和炉灶、烟囱等高温部位。</w:t>
            </w:r>
          </w:p>
        </w:tc>
      </w:tr>
      <w:tr w14:paraId="4C0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070F88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5447B4B9">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388A32E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仿宋_GB2312"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配电线路不宜直接敷设在可燃物上；当必须敷设在可燃物上或在有可燃物的吊顶内敷设时，应穿金属管敷设；且不应在集中储存的柴草、饲料等可燃物堆垛附近安装。</w:t>
            </w:r>
          </w:p>
        </w:tc>
      </w:tr>
      <w:tr w14:paraId="2C35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0F1AFFA">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153A61AA">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176651A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设备和管线宜明装，配电线路应穿金属导管保护；室内配电线路埋地敷设时，应穿壁厚不小于2.0mm的热镀锌金属导管保护，管线应敷设在夯实的基础土层，并采取固定措施。</w:t>
            </w:r>
          </w:p>
        </w:tc>
      </w:tr>
      <w:tr w14:paraId="1AFF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C8109F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587785E9">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71B038D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室内明敷设管线安装时，应横平竖直、排列整齐。管路与终端、弯头中点、接线盒或过路盒、电气器具等的边缘距离应在15cm～50cm范围内固定。</w:t>
            </w:r>
          </w:p>
        </w:tc>
      </w:tr>
      <w:tr w14:paraId="702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36" w:type="dxa"/>
            <w:vMerge w:val="continue"/>
          </w:tcPr>
          <w:p w14:paraId="0BE92E9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tcPr>
          <w:p w14:paraId="0713D94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14:paraId="1C1B7C9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8194" w:type="dxa"/>
            <w:vAlign w:val="top"/>
          </w:tcPr>
          <w:p w14:paraId="201279C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文物建筑的各种开关应采用密闭型。</w:t>
            </w:r>
          </w:p>
        </w:tc>
      </w:tr>
      <w:tr w14:paraId="5CFD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D18D27D">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43F441F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5C084FD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color w:val="auto"/>
                <w:kern w:val="0"/>
                <w:position w:val="-2"/>
                <w:sz w:val="18"/>
                <w:szCs w:val="18"/>
                <w:vertAlign w:val="baseline"/>
                <w:lang w:val="en-US" w:eastAsia="zh-CN" w:bidi="ar-SA"/>
              </w:rPr>
              <w:t>文物建筑的照明光源宜使用冷光源，且灯具附件无危险高温。</w:t>
            </w:r>
          </w:p>
        </w:tc>
      </w:tr>
      <w:tr w14:paraId="7312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14:paraId="1C6C6C5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施工</w:t>
            </w:r>
          </w:p>
          <w:p w14:paraId="65909561">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场地</w:t>
            </w:r>
          </w:p>
        </w:tc>
        <w:tc>
          <w:tcPr>
            <w:tcW w:w="741" w:type="dxa"/>
            <w:vMerge w:val="restart"/>
            <w:vAlign w:val="center"/>
          </w:tcPr>
          <w:p w14:paraId="1821F70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w:t>
            </w:r>
          </w:p>
        </w:tc>
        <w:tc>
          <w:tcPr>
            <w:tcW w:w="8194" w:type="dxa"/>
            <w:vAlign w:val="top"/>
          </w:tcPr>
          <w:p w14:paraId="7F0418E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施工场地的配电箱应能耐受撞击、振动、雨淋、日晒等严酷环境，并用不燃材料或铁板制成。</w:t>
            </w:r>
          </w:p>
        </w:tc>
      </w:tr>
      <w:tr w14:paraId="1EF3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3AB52D5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46E2B757">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56A8456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配电箱外壳的防护等级不应低于IP43。</w:t>
            </w:r>
          </w:p>
        </w:tc>
      </w:tr>
      <w:tr w14:paraId="2882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306C308">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4DC9A11F">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484C2D4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配电箱应由专人管理，只能用钥或专用工具才能开启。</w:t>
            </w:r>
          </w:p>
        </w:tc>
      </w:tr>
      <w:tr w14:paraId="722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1EAB84B7">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79193494">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0B6CB50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非电工人员只能通过配电箱对外开启的插座，将电气设备在空载状态下接入插座，其额定电流不应大于10A。</w:t>
            </w:r>
          </w:p>
        </w:tc>
      </w:tr>
      <w:tr w14:paraId="136A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389A7DDB">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18334181">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3AC262D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总配电箱的三相电源进线处必须装设三相剩余电流动作保护器，一般选用低灵敏度延时型，其额定剩余动作电流可选300mA或500mA。</w:t>
            </w:r>
          </w:p>
        </w:tc>
      </w:tr>
      <w:tr w14:paraId="42E4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730C9EC">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06EB846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4AEE625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的总配电箱和各分配电箱的PE线母排和电源插座的接地端子必须可靠接地（在施工开始之初应采用自然接地极或人工接地装置做好接地保护，在埋入建筑物钢筋后，该基础钢筋既应作建筑物的永久性接地极，又作施工时的临时接地极）。</w:t>
            </w:r>
          </w:p>
        </w:tc>
      </w:tr>
      <w:tr w14:paraId="3E76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24E6EB3B">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4E084D2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14:paraId="0759F7B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敷设</w:t>
            </w:r>
          </w:p>
          <w:p w14:paraId="1EEC21D4">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19A3AFA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施工场地架空线路的电杆应避开易受碰撞、易受雨水冲刷和应避开热力管道和交通车辆频繁的场所，安装时应尽量减少导线连接端子承受的力。</w:t>
            </w:r>
          </w:p>
        </w:tc>
      </w:tr>
      <w:tr w14:paraId="2033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7014C92F">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746110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71D4409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电缆敷设的路径应尽量避免与车行道交叉，交叉时必须套以钢管作机械保护。</w:t>
            </w:r>
          </w:p>
        </w:tc>
      </w:tr>
      <w:tr w14:paraId="1E94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7533093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0FE426B5">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116DDE6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应采用电缆或绝缘导线。</w:t>
            </w:r>
          </w:p>
        </w:tc>
      </w:tr>
      <w:tr w14:paraId="37FC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52AE9E20">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8613FDE">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303236F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工棚内的电气线路，除橡套软电缆和护套外，均应固定在绝缘子上，穿墙时应套绝缘管</w:t>
            </w:r>
          </w:p>
        </w:tc>
      </w:tr>
      <w:tr w14:paraId="4AE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4F76BF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26F72D4B">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618D1876">
            <w:pPr>
              <w:pStyle w:val="81"/>
              <w:keepNext w:val="0"/>
              <w:keepLines w:val="0"/>
              <w:pageBreakBefore w:val="0"/>
              <w:widowControl/>
              <w:suppressLineNumbers w:val="0"/>
              <w:wordWrap/>
              <w:overflowPunct/>
              <w:topLinePunct w:val="0"/>
              <w:bidi w:val="0"/>
              <w:spacing w:beforeAutospacing="0" w:line="180" w:lineRule="atLeast"/>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电气线路不得接触潮湿地面，不得靠近热源，不得直接绑挂在金属构架上任其幌动而不加绝缘子固定。</w:t>
            </w:r>
          </w:p>
        </w:tc>
      </w:tr>
      <w:tr w14:paraId="426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6A857ED8">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3AC6152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top"/>
          </w:tcPr>
          <w:p w14:paraId="2DC058C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在竹木脚手架上敷设线路时应采用绝缘子固定，在金属脚手架上敷设线路时，应采用木横担和绝缘子固定。</w:t>
            </w:r>
          </w:p>
        </w:tc>
      </w:tr>
      <w:tr w14:paraId="5BB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6" w:type="dxa"/>
            <w:vMerge w:val="continue"/>
          </w:tcPr>
          <w:p w14:paraId="15850F95">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tcPr>
          <w:p w14:paraId="47B3C1D3">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1DAE98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移动电缆应采用铜芯重型橡套电缆。</w:t>
            </w:r>
          </w:p>
        </w:tc>
      </w:tr>
      <w:tr w14:paraId="4F52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49776636">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restart"/>
            <w:vAlign w:val="center"/>
          </w:tcPr>
          <w:p w14:paraId="61DF9FE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14:paraId="7A04B46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8194" w:type="dxa"/>
            <w:vAlign w:val="center"/>
          </w:tcPr>
          <w:p w14:paraId="1ED1C81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移动式或手持式电动工具的电源线应采用铜芯橡套软电缆或聚氯乙烯绝缘聚氯乙烯护套软电缆，使用中应防止受热源烘烤和受机械损伤。</w:t>
            </w:r>
          </w:p>
        </w:tc>
      </w:tr>
      <w:tr w14:paraId="2842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tcPr>
          <w:p w14:paraId="03064DB4">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741" w:type="dxa"/>
            <w:vMerge w:val="continue"/>
            <w:vAlign w:val="center"/>
          </w:tcPr>
          <w:p w14:paraId="57843920">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731D885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施工场地户外灯具的外壳防护等级不应低于IP33。</w:t>
            </w:r>
          </w:p>
        </w:tc>
      </w:tr>
      <w:tr w14:paraId="2B6D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restart"/>
            <w:vAlign w:val="center"/>
          </w:tcPr>
          <w:p w14:paraId="4FA630EB">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w:t>
            </w:r>
          </w:p>
        </w:tc>
        <w:tc>
          <w:tcPr>
            <w:tcW w:w="8194" w:type="dxa"/>
          </w:tcPr>
          <w:p w14:paraId="6CA3CF3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距桑拿浴加热器附近0.5m，垂直平面向上延伸至屋顶空间内的区域，除加热设备外，不应安装其它设备和线路，加热器的电源引线应符合产品本身耐高温要求，加热器距墙壁应大于100mm；并应加装隔热板。</w:t>
            </w:r>
          </w:p>
        </w:tc>
      </w:tr>
      <w:tr w14:paraId="01A4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53A611F8">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4ECD17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距桑拿浴加热器垂直平面0.5m外、离地1m空间内的区域对线路和设备无耐高温要求，加热器的开关和控制器可以根据生产厂家的说明书安装在此区域。</w:t>
            </w:r>
          </w:p>
        </w:tc>
      </w:tr>
      <w:tr w14:paraId="4A8B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51436336">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58BCC67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距桑拿浴加热器垂直平面0.5m外、离地1m以上空间内的区域，在此区域内的电气设备应能承受至少125℃的高温，绝缘导线应能承受至少170℃的高温。</w:t>
            </w:r>
          </w:p>
        </w:tc>
      </w:tr>
      <w:tr w14:paraId="1C7F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7CB58E39">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tcPr>
          <w:p w14:paraId="3724F08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电气线路和设备至少应具备IP24的防护等级，用水冲洗清洁的电气线路和设备，其防水等级应达到5级。</w:t>
            </w:r>
          </w:p>
        </w:tc>
      </w:tr>
      <w:tr w14:paraId="0776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7B133911">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4B42F4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除加热器用的开关外，其它开关均应安装在桑拿浴室墙外。</w:t>
            </w:r>
          </w:p>
        </w:tc>
      </w:tr>
      <w:tr w14:paraId="1747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604D8A17">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5E90B7A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桑拿浴室内不应装设电源插座。</w:t>
            </w:r>
          </w:p>
        </w:tc>
      </w:tr>
      <w:tr w14:paraId="580F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gridSpan w:val="2"/>
            <w:vMerge w:val="continue"/>
          </w:tcPr>
          <w:p w14:paraId="217B877C">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8194" w:type="dxa"/>
            <w:vAlign w:val="center"/>
          </w:tcPr>
          <w:p w14:paraId="7D1C17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桑拿浴室内的线路应为双重绝缘，不应采用金属外皮的电缆或普通钢管布线。</w:t>
            </w:r>
          </w:p>
        </w:tc>
      </w:tr>
    </w:tbl>
    <w:p w14:paraId="36611D7F">
      <w:pPr>
        <w:pStyle w:val="258"/>
        <w:bidi w:val="0"/>
        <w:rPr>
          <w:rFonts w:hint="eastAsia"/>
          <w:color w:val="auto"/>
          <w:lang w:val="en-US" w:eastAsia="zh-CN"/>
        </w:rPr>
      </w:pPr>
    </w:p>
    <w:p w14:paraId="761CCF2E">
      <w:pPr>
        <w:pStyle w:val="258"/>
        <w:bidi w:val="0"/>
        <w:rPr>
          <w:rFonts w:hint="eastAsia"/>
          <w:color w:val="auto"/>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67C17D37">
      <w:pPr>
        <w:pStyle w:val="274"/>
        <w:bidi w:val="0"/>
        <w:jc w:val="center"/>
        <w:rPr>
          <w:rFonts w:hint="eastAsia"/>
          <w:color w:val="auto"/>
          <w:lang w:val="en-US" w:eastAsia="zh-CN"/>
        </w:rPr>
      </w:pPr>
      <w:bookmarkStart w:id="673" w:name="标准参考文献"/>
      <w:bookmarkEnd w:id="673"/>
      <w:bookmarkStart w:id="674" w:name="_Toc30483"/>
      <w:bookmarkStart w:id="675" w:name="_Toc8226"/>
      <w:bookmarkStart w:id="676" w:name="_Toc8738"/>
      <w:bookmarkStart w:id="677" w:name="_Toc17927"/>
      <w:bookmarkStart w:id="678" w:name="_Toc25337"/>
      <w:bookmarkStart w:id="679" w:name="_Toc26597"/>
      <w:bookmarkStart w:id="680" w:name="_Toc19914"/>
      <w:bookmarkStart w:id="681" w:name="_Toc25882"/>
      <w:bookmarkStart w:id="682" w:name="_Toc21669"/>
      <w:bookmarkStart w:id="683" w:name="_Toc31962"/>
      <w:bookmarkStart w:id="684" w:name="_Toc11091"/>
      <w:bookmarkStart w:id="685" w:name="_Toc5689"/>
      <w:bookmarkStart w:id="686" w:name="_Toc2948"/>
      <w:bookmarkStart w:id="687" w:name="_Toc23981"/>
      <w:bookmarkStart w:id="688" w:name="_Toc31343"/>
      <w:bookmarkStart w:id="689" w:name="_Toc27316"/>
      <w:bookmarkStart w:id="690" w:name="_Toc14229"/>
      <w:bookmarkStart w:id="691" w:name="_Toc31643"/>
      <w:r>
        <w:rPr>
          <w:rFonts w:hint="eastAsia"/>
          <w:color w:val="auto"/>
          <w:lang w:val="en-US" w:eastAsia="zh-CN"/>
        </w:rPr>
        <w:br w:type="textWrapping"/>
      </w:r>
      <w:r>
        <w:rPr>
          <w:rFonts w:hint="eastAsia"/>
          <w:color w:val="auto"/>
          <w:lang w:val="en-US" w:eastAsia="zh-CN"/>
        </w:rPr>
        <w:t>（资料性）</w:t>
      </w:r>
      <w:r>
        <w:rPr>
          <w:rFonts w:hint="eastAsia"/>
          <w:color w:val="auto"/>
          <w:lang w:val="en-US" w:eastAsia="zh-CN"/>
        </w:rPr>
        <w:br w:type="textWrapping"/>
      </w:r>
      <w:r>
        <w:rPr>
          <w:rFonts w:hint="eastAsia"/>
          <w:color w:val="auto"/>
          <w:lang w:val="en-US" w:eastAsia="zh-CN"/>
        </w:rPr>
        <w:t>检测仪器基本配置</w:t>
      </w:r>
      <w:bookmarkEnd w:id="674"/>
      <w:bookmarkEnd w:id="675"/>
      <w:bookmarkEnd w:id="676"/>
      <w:bookmarkEnd w:id="677"/>
    </w:p>
    <w:p w14:paraId="28F1BD95">
      <w:pPr>
        <w:pStyle w:val="275"/>
        <w:numPr>
          <w:ilvl w:val="1"/>
          <w:numId w:val="0"/>
        </w:numPr>
        <w:bidi w:val="0"/>
        <w:ind w:leftChars="0"/>
        <w:rPr>
          <w:rFonts w:hint="default"/>
          <w:color w:val="auto"/>
          <w:lang w:val="en-US" w:eastAsia="zh-CN"/>
        </w:rPr>
      </w:pPr>
      <w:bookmarkStart w:id="692" w:name="_Toc10327"/>
      <w:bookmarkStart w:id="693" w:name="_Toc22792"/>
      <w:bookmarkStart w:id="694" w:name="_Toc20011"/>
      <w:bookmarkStart w:id="695" w:name="_Toc14062"/>
      <w:bookmarkStart w:id="696" w:name="_Toc2706"/>
      <w:bookmarkStart w:id="697" w:name="_Toc29347"/>
      <w:bookmarkStart w:id="698" w:name="_Toc12349"/>
      <w:bookmarkStart w:id="699" w:name="_Toc2002"/>
      <w:bookmarkStart w:id="700" w:name="_Toc10053"/>
      <w:bookmarkStart w:id="701" w:name="_Toc15504"/>
      <w:r>
        <w:rPr>
          <w:rFonts w:hint="eastAsia"/>
          <w:color w:val="auto"/>
          <w:lang w:val="en-US" w:eastAsia="zh-CN"/>
        </w:rPr>
        <w:t>表E.1  检测仪器基本配置表</w:t>
      </w:r>
      <w:bookmarkEnd w:id="692"/>
      <w:bookmarkEnd w:id="693"/>
      <w:bookmarkEnd w:id="694"/>
      <w:bookmarkEnd w:id="695"/>
      <w:bookmarkEnd w:id="696"/>
      <w:bookmarkEnd w:id="697"/>
      <w:bookmarkEnd w:id="698"/>
      <w:bookmarkEnd w:id="699"/>
      <w:bookmarkEnd w:id="700"/>
      <w:bookmarkEnd w:id="701"/>
    </w:p>
    <w:tbl>
      <w:tblPr>
        <w:tblStyle w:val="88"/>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843"/>
        <w:gridCol w:w="2427"/>
        <w:gridCol w:w="4635"/>
      </w:tblGrid>
      <w:tr w14:paraId="6AEB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0D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70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仪器名称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8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检测项目</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主要技术参数</w:t>
            </w:r>
          </w:p>
        </w:tc>
      </w:tr>
      <w:tr w14:paraId="05B8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E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17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红外测温仪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C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温度测量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7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测温范围：0℃～+150℃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发射率范围：0.1～1.0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测温精确度：读数的±1%或±1℃</w:t>
            </w:r>
          </w:p>
        </w:tc>
      </w:tr>
      <w:tr w14:paraId="393E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7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17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红外热像仪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578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温度场测量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D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测温范围：0℃～+200℃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测温精确度：读数的±2%或±2℃</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图像存储和回放</w:t>
            </w:r>
          </w:p>
        </w:tc>
      </w:tr>
      <w:tr w14:paraId="57B6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4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超声波探测仪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0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火花和电弧探测</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7FE0F">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频率响应：20kHz～100kHz</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测量精确度：读数的±1%</w:t>
            </w:r>
          </w:p>
        </w:tc>
      </w:tr>
      <w:tr w14:paraId="7CCF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F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96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普通钳形表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6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交直流电流、电压测量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089C6">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AC/DC电流：0A～200A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AC/DC电压：0V～600V</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w:t>
            </w:r>
          </w:p>
        </w:tc>
      </w:tr>
      <w:tr w14:paraId="56D4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1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5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真有效值钳形表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22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交直流电流、电压真有效值测量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66A82">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AC/DC电流：0A～100A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AC/DC电压：0V～600V</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w:t>
            </w:r>
          </w:p>
        </w:tc>
      </w:tr>
      <w:tr w14:paraId="73E6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18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8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漏电电流测试仪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6B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漏电电流测试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CF153E">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量程：0A～1A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测量精确度：读数的±2.5%</w:t>
            </w:r>
          </w:p>
        </w:tc>
      </w:tr>
      <w:tr w14:paraId="2DD2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2B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9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绝缘电阻测试仪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3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导线绝缘电阻测量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3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测量范围：0MΩ～100MΩ  精度±5.0%</w:t>
            </w:r>
          </w:p>
        </w:tc>
      </w:tr>
      <w:tr w14:paraId="2C8E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29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1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钳式接地电阻测试仪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6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接地电阻测量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A5E6D">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测量范围：0.1Ω～200Ω</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精度：±2.5%</w:t>
            </w:r>
          </w:p>
        </w:tc>
      </w:tr>
      <w:tr w14:paraId="7C08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F2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低欧姆表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40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导电连续性测量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4A1FE">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测量范围：4Ω～24Ω</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精度：±2.5%</w:t>
            </w:r>
          </w:p>
        </w:tc>
      </w:tr>
      <w:tr w14:paraId="2D3A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0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6F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谐波分析仪</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E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谐波分量测量</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43C8B">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测量范围：1A～1000A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测量频率：基波、3、5、7、9次高次谐波</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精度：±10%</w:t>
            </w:r>
          </w:p>
        </w:tc>
      </w:tr>
      <w:tr w14:paraId="28A6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DA1">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0B67">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剩余电流发生器</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6756">
            <w:pPr>
              <w:keepNext w:val="0"/>
              <w:keepLines w:val="0"/>
              <w:widowControl/>
              <w:suppressLineNumbers w:val="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剩余电流保护装置动作特性</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4676">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工作电压：AC 220V</w:t>
            </w:r>
          </w:p>
          <w:p w14:paraId="47E9A8E9">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电压频率：50Hz/60Hz</w:t>
            </w:r>
          </w:p>
          <w:p w14:paraId="48E06009">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输出电流：AC 0.1mA-1000mA</w:t>
            </w:r>
          </w:p>
        </w:tc>
      </w:tr>
    </w:tbl>
    <w:p w14:paraId="257437E0">
      <w:pPr>
        <w:pStyle w:val="258"/>
        <w:bidi w:val="0"/>
        <w:rPr>
          <w:rFonts w:hint="eastAsia"/>
          <w:color w:val="auto"/>
          <w:lang w:val="en-US" w:eastAsia="zh-CN"/>
        </w:rPr>
      </w:pPr>
    </w:p>
    <w:p w14:paraId="0E7D66E9">
      <w:pPr>
        <w:pStyle w:val="258"/>
        <w:bidi w:val="0"/>
        <w:rPr>
          <w:rFonts w:hint="eastAsia"/>
          <w:color w:val="auto"/>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26CB5209">
      <w:pPr>
        <w:pStyle w:val="347"/>
        <w:bidi w:val="0"/>
        <w:ind w:left="0" w:leftChars="0" w:firstLine="0" w:firstLineChars="0"/>
        <w:rPr>
          <w:rFonts w:hint="eastAsia"/>
          <w:color w:val="auto"/>
          <w:lang w:val="en-US" w:eastAsia="zh-CN"/>
        </w:rPr>
      </w:pPr>
    </w:p>
    <w:p w14:paraId="2581B4D5">
      <w:pPr>
        <w:pStyle w:val="348"/>
        <w:bidi w:val="0"/>
        <w:ind w:left="0" w:leftChars="0" w:firstLine="0" w:firstLineChars="0"/>
        <w:rPr>
          <w:rFonts w:hint="eastAsia"/>
          <w:color w:val="auto"/>
          <w:lang w:val="en-US" w:eastAsia="zh-CN"/>
        </w:rPr>
      </w:pPr>
    </w:p>
    <w:p w14:paraId="74209B4A">
      <w:pPr>
        <w:pStyle w:val="274"/>
        <w:bidi w:val="0"/>
        <w:jc w:val="center"/>
        <w:rPr>
          <w:rFonts w:hint="eastAsia"/>
          <w:color w:val="auto"/>
          <w:lang w:val="en-US" w:eastAsia="zh-CN"/>
        </w:rPr>
      </w:pPr>
      <w:bookmarkStart w:id="702" w:name="_Toc24095"/>
      <w:r>
        <w:rPr>
          <w:rFonts w:hint="eastAsia"/>
          <w:color w:val="auto"/>
          <w:lang w:val="en-US" w:eastAsia="zh-CN"/>
        </w:rPr>
        <w:br w:type="textWrapping"/>
      </w:r>
      <w:r>
        <w:rPr>
          <w:rFonts w:hint="eastAsia"/>
          <w:color w:val="auto"/>
          <w:lang w:val="en-US" w:eastAsia="zh-CN"/>
        </w:rPr>
        <w:t>（资料性）</w:t>
      </w:r>
      <w:r>
        <w:rPr>
          <w:rFonts w:hint="eastAsia"/>
          <w:color w:val="auto"/>
          <w:lang w:val="en-US" w:eastAsia="zh-CN"/>
        </w:rPr>
        <w:br w:type="textWrapping"/>
      </w:r>
      <w:r>
        <w:rPr>
          <w:rFonts w:hint="eastAsia"/>
          <w:color w:val="auto"/>
          <w:lang w:val="en-US" w:eastAsia="zh-CN"/>
        </w:rPr>
        <w:t>检测报告样式</w:t>
      </w:r>
      <w:bookmarkEnd w:id="678"/>
      <w:bookmarkEnd w:id="679"/>
      <w:bookmarkEnd w:id="680"/>
      <w:bookmarkEnd w:id="702"/>
    </w:p>
    <w:p w14:paraId="68A999D7">
      <w:pPr>
        <w:tabs>
          <w:tab w:val="right" w:leader="dot" w:pos="9337"/>
        </w:tabs>
        <w:spacing w:before="156" w:line="226" w:lineRule="auto"/>
        <w:jc w:val="right"/>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报告编号：****-JZDQFHJC-2024***</w:t>
      </w:r>
    </w:p>
    <w:p w14:paraId="6E3AF689">
      <w:pPr>
        <w:tabs>
          <w:tab w:val="right" w:leader="dot" w:pos="9337"/>
        </w:tabs>
        <w:spacing w:before="156" w:line="226" w:lineRule="auto"/>
        <w:jc w:val="right"/>
        <w:rPr>
          <w:rFonts w:hint="eastAsia" w:eastAsia="宋体"/>
          <w:color w:val="auto"/>
          <w:lang w:val="en-US" w:eastAsia="zh-CN"/>
        </w:rPr>
      </w:pPr>
    </w:p>
    <w:p w14:paraId="120D9F68">
      <w:pPr>
        <w:tabs>
          <w:tab w:val="right" w:leader="dot" w:pos="9337"/>
        </w:tabs>
        <w:spacing w:before="156" w:line="226" w:lineRule="auto"/>
        <w:jc w:val="right"/>
        <w:rPr>
          <w:rFonts w:hint="eastAsia" w:eastAsia="宋体"/>
          <w:color w:val="auto"/>
          <w:lang w:val="en-US" w:eastAsia="zh-CN"/>
        </w:rPr>
      </w:pPr>
    </w:p>
    <w:p w14:paraId="04A76081">
      <w:pPr>
        <w:tabs>
          <w:tab w:val="right" w:leader="dot" w:pos="9337"/>
        </w:tabs>
        <w:spacing w:before="156" w:line="226" w:lineRule="auto"/>
        <w:jc w:val="center"/>
        <w:rPr>
          <w:rFonts w:hint="eastAsia" w:ascii="微软雅黑" w:hAnsi="微软雅黑" w:eastAsia="微软雅黑" w:cs="微软雅黑"/>
          <w:b w:val="0"/>
          <w:bCs w:val="0"/>
          <w:snapToGrid/>
          <w:color w:val="auto"/>
          <w:kern w:val="0"/>
          <w:position w:val="-2"/>
          <w:sz w:val="52"/>
          <w:szCs w:val="52"/>
          <w:u w:val="none"/>
          <w:shd w:val="clear" w:color="auto" w:fill="auto"/>
          <w:lang w:val="en-US" w:eastAsia="zh-CN" w:bidi="ar-SA"/>
        </w:rPr>
      </w:pPr>
      <w:r>
        <w:rPr>
          <w:rFonts w:hint="eastAsia" w:ascii="微软雅黑" w:hAnsi="微软雅黑" w:eastAsia="微软雅黑" w:cs="微软雅黑"/>
          <w:b w:val="0"/>
          <w:bCs w:val="0"/>
          <w:snapToGrid/>
          <w:color w:val="auto"/>
          <w:kern w:val="0"/>
          <w:position w:val="-2"/>
          <w:sz w:val="52"/>
          <w:szCs w:val="52"/>
          <w:u w:val="none"/>
          <w:shd w:val="clear" w:color="auto" w:fill="auto"/>
          <w:lang w:val="en-US" w:eastAsia="zh-CN" w:bidi="ar-SA"/>
        </w:rPr>
        <w:t>建 筑 电 气 防 火</w:t>
      </w:r>
    </w:p>
    <w:p w14:paraId="287EE74A">
      <w:pPr>
        <w:tabs>
          <w:tab w:val="right" w:leader="dot" w:pos="9337"/>
        </w:tabs>
        <w:spacing w:before="156" w:line="226" w:lineRule="auto"/>
        <w:jc w:val="center"/>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r>
        <w:rPr>
          <w:rFonts w:hint="eastAsia" w:ascii="黑体" w:hAnsi="黑体" w:eastAsia="黑体" w:cs="黑体"/>
          <w:b w:val="0"/>
          <w:bCs w:val="0"/>
          <w:snapToGrid/>
          <w:color w:val="auto"/>
          <w:kern w:val="0"/>
          <w:position w:val="-2"/>
          <w:sz w:val="52"/>
          <w:szCs w:val="52"/>
          <w:u w:val="none"/>
          <w:shd w:val="clear" w:color="auto" w:fill="auto"/>
          <w:lang w:val="en-US" w:eastAsia="zh-CN" w:bidi="ar-SA"/>
        </w:rPr>
        <w:t>检 测 报 告</w:t>
      </w:r>
    </w:p>
    <w:p w14:paraId="0CB969B5">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192" w:lineRule="auto"/>
        <w:jc w:val="both"/>
        <w:textAlignment w:val="baseline"/>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p>
    <w:p w14:paraId="39600D79">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192" w:lineRule="auto"/>
        <w:jc w:val="center"/>
        <w:textAlignment w:val="baseline"/>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p>
    <w:p w14:paraId="24EB7F8B">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项目名称：</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14:paraId="42A351D9">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项目地址：</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14:paraId="27EF9B51">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委托单位：</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14:paraId="60A3A758">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管理单位：</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14:paraId="4D5D49E1">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检测类别：</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14:paraId="03C5BFF6">
      <w:pPr>
        <w:tabs>
          <w:tab w:val="right" w:leader="dot" w:pos="9337"/>
        </w:tabs>
        <w:spacing w:before="156" w:line="226" w:lineRule="auto"/>
        <w:ind w:firstLine="3360" w:firstLineChars="1200"/>
        <w:jc w:val="left"/>
        <w:rPr>
          <w:rFonts w:hint="eastAsia" w:ascii="黑体" w:hAnsi="黑体" w:eastAsia="黑体" w:cs="黑体"/>
          <w:b w:val="0"/>
          <w:bCs w:val="0"/>
          <w:snapToGrid/>
          <w:color w:val="auto"/>
          <w:kern w:val="0"/>
          <w:position w:val="-2"/>
          <w:sz w:val="28"/>
          <w:szCs w:val="28"/>
          <w:u w:val="single"/>
          <w:shd w:val="clear" w:color="auto" w:fill="auto"/>
          <w:lang w:val="en-US" w:eastAsia="zh-CN" w:bidi="ar-SA"/>
        </w:rPr>
      </w:pPr>
    </w:p>
    <w:p w14:paraId="4BED1500">
      <w:pPr>
        <w:keepNext w:val="0"/>
        <w:keepLines w:val="0"/>
        <w:pageBreakBefore w:val="0"/>
        <w:widowControl w:val="0"/>
        <w:tabs>
          <w:tab w:val="right" w:leader="dot" w:pos="9337"/>
        </w:tabs>
        <w:kinsoku/>
        <w:wordWrap/>
        <w:overflowPunct/>
        <w:topLinePunct w:val="0"/>
        <w:autoSpaceDE/>
        <w:autoSpaceDN/>
        <w:bidi w:val="0"/>
        <w:adjustRightInd/>
        <w:snapToGrid/>
        <w:spacing w:before="156" w:line="226" w:lineRule="auto"/>
        <w:ind w:firstLine="0" w:firstLineChars="0"/>
        <w:jc w:val="center"/>
        <w:textAlignment w:val="auto"/>
        <w:rPr>
          <w:rFonts w:hint="default" w:ascii="微软雅黑" w:hAnsi="微软雅黑" w:eastAsia="微软雅黑" w:cs="微软雅黑"/>
          <w:b w:val="0"/>
          <w:bCs w:val="0"/>
          <w:snapToGrid/>
          <w:color w:val="auto"/>
          <w:kern w:val="0"/>
          <w:position w:val="-2"/>
          <w:sz w:val="32"/>
          <w:szCs w:val="32"/>
          <w:u w:val="none"/>
          <w:shd w:val="clear" w:color="auto" w:fill="auto"/>
          <w:lang w:val="en-US" w:eastAsia="zh-CN" w:bidi="ar-SA"/>
        </w:rPr>
      </w:pPr>
      <w:r>
        <w:rPr>
          <w:rFonts w:hint="eastAsia" w:ascii="黑体" w:hAnsi="黑体" w:eastAsia="黑体" w:cs="黑体"/>
          <w:b w:val="0"/>
          <w:bCs w:val="0"/>
          <w:snapToGrid/>
          <w:color w:val="auto"/>
          <w:kern w:val="0"/>
          <w:position w:val="-2"/>
          <w:sz w:val="28"/>
          <w:szCs w:val="28"/>
          <w:u w:val="none"/>
          <w:shd w:val="clear" w:color="auto" w:fill="auto"/>
          <w:lang w:val="en-US" w:eastAsia="zh-CN" w:bidi="ar-SA"/>
        </w:rPr>
        <w:t>XX公司</w:t>
      </w:r>
    </w:p>
    <w:p w14:paraId="33820271">
      <w:pPr>
        <w:keepNext w:val="0"/>
        <w:keepLines w:val="0"/>
        <w:pageBreakBefore w:val="0"/>
        <w:widowControl w:val="0"/>
        <w:tabs>
          <w:tab w:val="right" w:leader="dot" w:pos="9337"/>
        </w:tabs>
        <w:kinsoku/>
        <w:wordWrap/>
        <w:overflowPunct/>
        <w:topLinePunct w:val="0"/>
        <w:autoSpaceDE/>
        <w:autoSpaceDN/>
        <w:bidi w:val="0"/>
        <w:adjustRightInd/>
        <w:snapToGrid/>
        <w:spacing w:before="156" w:line="226" w:lineRule="auto"/>
        <w:ind w:firstLine="0" w:firstLineChars="0"/>
        <w:jc w:val="center"/>
        <w:textAlignment w:val="auto"/>
        <w:rPr>
          <w:rFonts w:hint="eastAsia" w:ascii="黑体" w:hAnsi="黑体" w:eastAsia="黑体" w:cs="黑体"/>
          <w:b/>
          <w:color w:val="auto"/>
          <w:sz w:val="32"/>
          <w:szCs w:val="32"/>
          <w:lang w:val="en-US" w:eastAsia="zh-CN"/>
        </w:rPr>
      </w:pP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年</w:t>
      </w: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月</w:t>
      </w: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日</w:t>
      </w:r>
    </w:p>
    <w:p w14:paraId="252D6C27">
      <w:pPr>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br w:type="page"/>
      </w:r>
    </w:p>
    <w:p w14:paraId="60680A3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32"/>
          <w:szCs w:val="32"/>
          <w:lang w:eastAsia="zh-CN"/>
        </w:rPr>
      </w:pPr>
      <w:r>
        <w:rPr>
          <w:rFonts w:hint="eastAsia" w:ascii="黑体" w:hAnsi="黑体" w:eastAsia="黑体" w:cs="黑体"/>
          <w:b/>
          <w:color w:val="auto"/>
          <w:sz w:val="32"/>
          <w:szCs w:val="32"/>
          <w:lang w:val="en-US" w:eastAsia="zh-CN"/>
        </w:rPr>
        <w:t>说     明</w:t>
      </w:r>
    </w:p>
    <w:p w14:paraId="437A11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z w:val="36"/>
          <w:szCs w:val="36"/>
        </w:rPr>
      </w:pPr>
    </w:p>
    <w:p w14:paraId="31BC05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z w:val="36"/>
          <w:szCs w:val="36"/>
        </w:rPr>
      </w:pPr>
    </w:p>
    <w:p w14:paraId="27D8DF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未加盖检测机构公章及骑缝章的无效。</w:t>
      </w:r>
    </w:p>
    <w:p w14:paraId="40A7AA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2、复制本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未加盖检测机构公章的无效</w:t>
      </w:r>
      <w:r>
        <w:rPr>
          <w:rFonts w:hint="eastAsia" w:asciiTheme="minorEastAsia" w:hAnsiTheme="minorEastAsia" w:eastAsiaTheme="minorEastAsia" w:cstheme="minorEastAsia"/>
          <w:color w:val="auto"/>
          <w:sz w:val="21"/>
          <w:szCs w:val="21"/>
        </w:rPr>
        <w:t>。</w:t>
      </w:r>
    </w:p>
    <w:p w14:paraId="6F4B5860">
      <w:pPr>
        <w:keepNext w:val="0"/>
        <w:keepLines w:val="0"/>
        <w:pageBreakBefore w:val="0"/>
        <w:widowControl/>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本报告无检测人员、项目负责人签名的无效。</w:t>
      </w:r>
    </w:p>
    <w:p w14:paraId="193E8C90">
      <w:pPr>
        <w:keepNext w:val="0"/>
        <w:keepLines w:val="0"/>
        <w:pageBreakBefore w:val="0"/>
        <w:widowControl/>
        <w:kinsoku w:val="0"/>
        <w:wordWrap/>
        <w:overflowPunct/>
        <w:topLinePunct w:val="0"/>
        <w:autoSpaceDE w:val="0"/>
        <w:autoSpaceDN w:val="0"/>
        <w:bidi w:val="0"/>
        <w:adjustRightInd w:val="0"/>
        <w:snapToGrid w:val="0"/>
        <w:spacing w:line="408" w:lineRule="auto"/>
        <w:ind w:left="300" w:hanging="210" w:hangingChars="1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本</w:t>
      </w:r>
      <w:r>
        <w:rPr>
          <w:rFonts w:hint="eastAsia" w:asciiTheme="minorEastAsia" w:hAnsiTheme="minorEastAsia" w:eastAsiaTheme="minorEastAsia" w:cstheme="minorEastAsia"/>
          <w:color w:val="auto"/>
          <w:sz w:val="21"/>
          <w:szCs w:val="21"/>
        </w:rPr>
        <w:t>报告如有异议，应于收到报告之日起十五日内向</w:t>
      </w:r>
      <w:r>
        <w:rPr>
          <w:rFonts w:hint="eastAsia" w:asciiTheme="minorEastAsia" w:hAnsiTheme="minorEastAsia" w:eastAsiaTheme="minorEastAsia" w:cstheme="minorEastAsia"/>
          <w:color w:val="auto"/>
          <w:sz w:val="21"/>
          <w:szCs w:val="21"/>
          <w:lang w:val="en-US" w:eastAsia="zh-CN"/>
        </w:rPr>
        <w:t>检测机构</w:t>
      </w:r>
      <w:r>
        <w:rPr>
          <w:rFonts w:hint="eastAsia" w:asciiTheme="minorEastAsia" w:hAnsiTheme="minorEastAsia" w:eastAsiaTheme="minorEastAsia" w:cstheme="minorEastAsia"/>
          <w:color w:val="auto"/>
          <w:sz w:val="21"/>
          <w:szCs w:val="21"/>
        </w:rPr>
        <w:t>提出，逾期未提出异议的，视为无异议。</w:t>
      </w:r>
    </w:p>
    <w:p w14:paraId="478B280A">
      <w:pPr>
        <w:keepNext w:val="0"/>
        <w:keepLines w:val="0"/>
        <w:pageBreakBefore w:val="0"/>
        <w:widowControl/>
        <w:kinsoku w:val="0"/>
        <w:wordWrap/>
        <w:overflowPunct/>
        <w:topLinePunct w:val="0"/>
        <w:autoSpaceDE w:val="0"/>
        <w:autoSpaceDN w:val="0"/>
        <w:bidi w:val="0"/>
        <w:adjustRightInd w:val="0"/>
        <w:snapToGrid w:val="0"/>
        <w:spacing w:line="408" w:lineRule="auto"/>
        <w:ind w:left="300" w:hanging="210" w:hangingChars="1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是依据实施检测时现场电气状况出具，并仅对实施</w:t>
      </w:r>
      <w:r>
        <w:rPr>
          <w:rFonts w:hint="eastAsia" w:asciiTheme="minorEastAsia" w:hAnsiTheme="minorEastAsia" w:eastAsiaTheme="minorEastAsia" w:cstheme="minorEastAsia"/>
          <w:color w:val="auto"/>
          <w:sz w:val="21"/>
          <w:szCs w:val="21"/>
        </w:rPr>
        <w:t>检测</w:t>
      </w:r>
      <w:r>
        <w:rPr>
          <w:rFonts w:hint="eastAsia" w:asciiTheme="minorEastAsia" w:hAnsiTheme="minorEastAsia" w:eastAsiaTheme="minorEastAsia" w:cstheme="minorEastAsia"/>
          <w:color w:val="auto"/>
          <w:sz w:val="21"/>
          <w:szCs w:val="21"/>
          <w:lang w:val="en-US" w:eastAsia="zh-CN"/>
        </w:rPr>
        <w:t>时的状况</w:t>
      </w:r>
      <w:r>
        <w:rPr>
          <w:rFonts w:hint="eastAsia" w:asciiTheme="minorEastAsia" w:hAnsiTheme="minorEastAsia" w:eastAsiaTheme="minorEastAsia" w:cstheme="minorEastAsia"/>
          <w:color w:val="auto"/>
          <w:sz w:val="21"/>
          <w:szCs w:val="21"/>
        </w:rPr>
        <w:t>负责。</w:t>
      </w:r>
    </w:p>
    <w:p w14:paraId="0A62F8F1">
      <w:pPr>
        <w:keepNext w:val="0"/>
        <w:keepLines w:val="0"/>
        <w:pageBreakBefore w:val="0"/>
        <w:widowControl/>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6、对本报告中的符合项应按规定持续维护保养，不符合项应及时整改。</w:t>
      </w:r>
    </w:p>
    <w:p w14:paraId="32E8726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60114FC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0D39A5E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40C9B00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0A3FB82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47F806F2">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5A7E9CD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14:paraId="70D671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sz w:val="21"/>
          <w:szCs w:val="21"/>
          <w:u w:val="single"/>
          <w:lang w:val="en-US" w:eastAsia="zh-CN"/>
        </w:rPr>
      </w:pPr>
      <w:r>
        <w:rPr>
          <w:rFonts w:hint="eastAsia" w:eastAsia="宋体"/>
          <w:color w:val="auto"/>
          <w:sz w:val="21"/>
          <w:szCs w:val="21"/>
          <w:u w:val="single"/>
          <w:lang w:val="en-US" w:eastAsia="zh-CN"/>
        </w:rPr>
        <w:t xml:space="preserve">                                                                                         </w:t>
      </w:r>
    </w:p>
    <w:p w14:paraId="04C914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检测</w:t>
      </w:r>
      <w:r>
        <w:rPr>
          <w:rFonts w:hint="eastAsia" w:ascii="黑体" w:hAnsi="黑体" w:eastAsia="黑体" w:cs="黑体"/>
          <w:color w:val="auto"/>
          <w:sz w:val="32"/>
          <w:szCs w:val="32"/>
        </w:rPr>
        <w:t>机构信息</w:t>
      </w:r>
    </w:p>
    <w:p w14:paraId="30CE2A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单位名称：XXXXXX</w:t>
      </w:r>
    </w:p>
    <w:p w14:paraId="45C798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单位地址：XXXXXX</w:t>
      </w:r>
    </w:p>
    <w:p w14:paraId="19D9A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电    话：XXXXXX</w:t>
      </w:r>
    </w:p>
    <w:p w14:paraId="5CCF46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传    真：XXXXXX</w:t>
      </w:r>
    </w:p>
    <w:p w14:paraId="102ECA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邮    箱：XXXXXX</w:t>
      </w:r>
    </w:p>
    <w:p w14:paraId="224C1D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lang w:val="en-US" w:eastAsia="zh-CN"/>
        </w:rPr>
      </w:pPr>
    </w:p>
    <w:p w14:paraId="5771E5FA">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3774A9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14:paraId="040D9916">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14:paraId="28AC1AF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一、检测项目概况</w:t>
      </w:r>
    </w:p>
    <w:tbl>
      <w:tblPr>
        <w:tblStyle w:val="89"/>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522"/>
        <w:gridCol w:w="2391"/>
        <w:gridCol w:w="2391"/>
      </w:tblGrid>
      <w:tr w14:paraId="1C2F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6AA37A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项目名称</w:t>
            </w:r>
          </w:p>
        </w:tc>
        <w:tc>
          <w:tcPr>
            <w:tcW w:w="7304" w:type="dxa"/>
            <w:gridSpan w:val="3"/>
            <w:vAlign w:val="center"/>
          </w:tcPr>
          <w:p w14:paraId="500D40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7EF0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698BEE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项目地址</w:t>
            </w:r>
          </w:p>
        </w:tc>
        <w:tc>
          <w:tcPr>
            <w:tcW w:w="7304" w:type="dxa"/>
            <w:gridSpan w:val="3"/>
            <w:vAlign w:val="center"/>
          </w:tcPr>
          <w:p w14:paraId="4D7256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4C44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170B29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委托单位</w:t>
            </w:r>
          </w:p>
        </w:tc>
        <w:tc>
          <w:tcPr>
            <w:tcW w:w="7304" w:type="dxa"/>
            <w:gridSpan w:val="3"/>
            <w:vAlign w:val="center"/>
          </w:tcPr>
          <w:p w14:paraId="6569CB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194F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7F9339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管理单位</w:t>
            </w:r>
          </w:p>
        </w:tc>
        <w:tc>
          <w:tcPr>
            <w:tcW w:w="7304" w:type="dxa"/>
            <w:gridSpan w:val="3"/>
            <w:vAlign w:val="center"/>
          </w:tcPr>
          <w:p w14:paraId="510405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5EF8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21A810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设计单位</w:t>
            </w:r>
          </w:p>
        </w:tc>
        <w:tc>
          <w:tcPr>
            <w:tcW w:w="7304" w:type="dxa"/>
            <w:gridSpan w:val="3"/>
            <w:vAlign w:val="center"/>
          </w:tcPr>
          <w:p w14:paraId="5ADABD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5620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78B9A3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施工(维保)单位</w:t>
            </w:r>
          </w:p>
        </w:tc>
        <w:tc>
          <w:tcPr>
            <w:tcW w:w="7304" w:type="dxa"/>
            <w:gridSpan w:val="3"/>
            <w:vAlign w:val="center"/>
          </w:tcPr>
          <w:p w14:paraId="7A691D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6AEA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64CD5A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委托单位联系人</w:t>
            </w:r>
          </w:p>
        </w:tc>
        <w:tc>
          <w:tcPr>
            <w:tcW w:w="2522" w:type="dxa"/>
            <w:vAlign w:val="center"/>
          </w:tcPr>
          <w:p w14:paraId="08A082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c>
          <w:tcPr>
            <w:tcW w:w="2391" w:type="dxa"/>
            <w:vAlign w:val="center"/>
          </w:tcPr>
          <w:p w14:paraId="39CD58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联系电话</w:t>
            </w:r>
          </w:p>
        </w:tc>
        <w:tc>
          <w:tcPr>
            <w:tcW w:w="2391" w:type="dxa"/>
            <w:vAlign w:val="center"/>
          </w:tcPr>
          <w:p w14:paraId="24A2D9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3BE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472529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检测类别</w:t>
            </w:r>
          </w:p>
        </w:tc>
        <w:tc>
          <w:tcPr>
            <w:tcW w:w="2522" w:type="dxa"/>
            <w:vAlign w:val="center"/>
          </w:tcPr>
          <w:p w14:paraId="01E594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年度检测/委托检测</w:t>
            </w:r>
          </w:p>
        </w:tc>
        <w:tc>
          <w:tcPr>
            <w:tcW w:w="2391" w:type="dxa"/>
            <w:vAlign w:val="center"/>
          </w:tcPr>
          <w:p w14:paraId="4A2BF6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检测日期</w:t>
            </w:r>
          </w:p>
        </w:tc>
        <w:tc>
          <w:tcPr>
            <w:tcW w:w="2391" w:type="dxa"/>
            <w:vAlign w:val="center"/>
          </w:tcPr>
          <w:p w14:paraId="52F8EC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375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14:paraId="19C28C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检测依据</w:t>
            </w:r>
          </w:p>
        </w:tc>
        <w:tc>
          <w:tcPr>
            <w:tcW w:w="7304" w:type="dxa"/>
            <w:gridSpan w:val="3"/>
            <w:vAlign w:val="center"/>
          </w:tcPr>
          <w:p w14:paraId="5BABDE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14:paraId="2D72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564" w:type="dxa"/>
            <w:gridSpan w:val="4"/>
            <w:vAlign w:val="center"/>
          </w:tcPr>
          <w:p w14:paraId="695587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r>
              <w:rPr>
                <w:rFonts w:hint="eastAsia" w:ascii="黑体" w:hAnsi="黑体" w:eastAsia="黑体" w:cs="黑体"/>
                <w:color w:val="auto"/>
                <w:sz w:val="21"/>
                <w:szCs w:val="21"/>
                <w:vertAlign w:val="baseline"/>
                <w:lang w:val="en-US" w:eastAsia="zh-CN"/>
              </w:rPr>
              <w:t>项目概况</w:t>
            </w:r>
          </w:p>
        </w:tc>
      </w:tr>
      <w:tr w14:paraId="1DE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3" w:hRule="atLeast"/>
        </w:trPr>
        <w:tc>
          <w:tcPr>
            <w:tcW w:w="9564" w:type="dxa"/>
            <w:gridSpan w:val="4"/>
            <w:vAlign w:val="top"/>
          </w:tcPr>
          <w:p w14:paraId="3AC36E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val="en-US" w:eastAsia="zh-CN"/>
              </w:rPr>
            </w:pPr>
          </w:p>
          <w:p w14:paraId="11C9596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XXXX大厦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位于XXXX大道XX号，</w:t>
            </w:r>
            <w:r>
              <w:rPr>
                <w:rFonts w:hint="eastAsia" w:ascii="宋体" w:hAnsi="宋体" w:eastAsia="宋体" w:cs="宋体"/>
                <w:color w:val="auto"/>
                <w:kern w:val="0"/>
                <w:sz w:val="21"/>
                <w:szCs w:val="21"/>
              </w:rPr>
              <w:t>总建筑面积</w:t>
            </w:r>
            <w:r>
              <w:rPr>
                <w:rFonts w:hint="eastAsia" w:ascii="宋体" w:hAnsi="宋体" w:eastAsia="宋体" w:cs="宋体"/>
                <w:color w:val="auto"/>
                <w:kern w:val="0"/>
                <w:sz w:val="21"/>
                <w:szCs w:val="21"/>
                <w:lang w:val="en-US" w:eastAsia="zh-CN"/>
              </w:rPr>
              <w:t>XXXXXX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(地上XXXX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地下</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，建筑高度</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地上XX</w:t>
            </w:r>
            <w:r>
              <w:rPr>
                <w:rFonts w:hint="eastAsia" w:ascii="宋体" w:hAnsi="宋体" w:eastAsia="宋体" w:cs="宋体"/>
                <w:color w:val="auto"/>
                <w:kern w:val="0"/>
                <w:sz w:val="21"/>
                <w:szCs w:val="21"/>
              </w:rPr>
              <w:t>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地下XX层，XXXX年XX月竣工投运</w:t>
            </w:r>
            <w:r>
              <w:rPr>
                <w:rFonts w:hint="eastAsia" w:ascii="宋体" w:hAnsi="宋体" w:eastAsia="宋体" w:cs="宋体"/>
                <w:color w:val="auto"/>
                <w:kern w:val="0"/>
                <w:sz w:val="21"/>
                <w:szCs w:val="21"/>
                <w:lang w:eastAsia="zh-CN"/>
              </w:rPr>
              <w:t>。</w:t>
            </w:r>
          </w:p>
          <w:p w14:paraId="459687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地上</w:t>
            </w:r>
            <w:r>
              <w:rPr>
                <w:rFonts w:hint="eastAsia" w:ascii="宋体" w:hAnsi="宋体" w:eastAsia="宋体" w:cs="宋体"/>
                <w:color w:val="auto"/>
                <w:kern w:val="0"/>
                <w:sz w:val="21"/>
                <w:szCs w:val="21"/>
                <w:lang w:val="en-US" w:eastAsia="zh-CN"/>
              </w:rPr>
              <w:t>1-X</w:t>
            </w:r>
            <w:r>
              <w:rPr>
                <w:rFonts w:hint="eastAsia" w:ascii="宋体" w:hAnsi="宋体" w:eastAsia="宋体" w:cs="宋体"/>
                <w:color w:val="auto"/>
                <w:kern w:val="0"/>
                <w:sz w:val="21"/>
                <w:szCs w:val="21"/>
              </w:rPr>
              <w:t>层为商业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kern w:val="0"/>
                <w:sz w:val="21"/>
                <w:szCs w:val="21"/>
              </w:rPr>
              <w:t>层为影</w:t>
            </w:r>
            <w:r>
              <w:rPr>
                <w:rFonts w:hint="eastAsia" w:ascii="宋体" w:hAnsi="宋体" w:eastAsia="宋体" w:cs="宋体"/>
                <w:color w:val="auto"/>
                <w:kern w:val="0"/>
                <w:sz w:val="21"/>
                <w:szCs w:val="21"/>
                <w:lang w:val="en-US" w:eastAsia="zh-CN"/>
              </w:rPr>
              <w:t>院，X-X</w:t>
            </w:r>
            <w:r>
              <w:rPr>
                <w:rFonts w:hint="eastAsia" w:ascii="宋体" w:hAnsi="宋体" w:eastAsia="宋体" w:cs="宋体"/>
                <w:color w:val="auto"/>
                <w:kern w:val="0"/>
                <w:sz w:val="21"/>
                <w:szCs w:val="21"/>
              </w:rPr>
              <w:t>层为</w:t>
            </w:r>
            <w:r>
              <w:rPr>
                <w:rFonts w:hint="eastAsia" w:ascii="宋体" w:hAnsi="宋体" w:eastAsia="宋体" w:cs="宋体"/>
                <w:color w:val="auto"/>
                <w:kern w:val="0"/>
                <w:sz w:val="21"/>
                <w:szCs w:val="21"/>
                <w:lang w:val="en-US" w:eastAsia="zh-CN"/>
              </w:rPr>
              <w:t>办公</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kern w:val="0"/>
                <w:sz w:val="21"/>
                <w:szCs w:val="21"/>
              </w:rPr>
              <w:t>；地下1层为设备用房，地下</w:t>
            </w:r>
            <w:r>
              <w:rPr>
                <w:rFonts w:hint="eastAsia" w:ascii="宋体" w:hAnsi="宋体" w:eastAsia="宋体" w:cs="宋体"/>
                <w:color w:val="auto"/>
                <w:kern w:val="0"/>
                <w:sz w:val="21"/>
                <w:szCs w:val="21"/>
                <w:lang w:val="en-US" w:eastAsia="zh-CN"/>
              </w:rPr>
              <w:t>2-X</w:t>
            </w:r>
            <w:r>
              <w:rPr>
                <w:rFonts w:hint="eastAsia" w:ascii="宋体" w:hAnsi="宋体" w:eastAsia="宋体" w:cs="宋体"/>
                <w:color w:val="auto"/>
                <w:kern w:val="0"/>
                <w:sz w:val="21"/>
                <w:szCs w:val="21"/>
              </w:rPr>
              <w:t>层</w:t>
            </w:r>
            <w:r>
              <w:rPr>
                <w:rFonts w:hint="eastAsia" w:ascii="宋体" w:hAnsi="宋体" w:eastAsia="宋体" w:cs="宋体"/>
                <w:color w:val="auto"/>
                <w:kern w:val="0"/>
                <w:sz w:val="21"/>
                <w:szCs w:val="21"/>
                <w:lang w:val="en-US" w:eastAsia="zh-CN"/>
              </w:rPr>
              <w:t>为车库</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该建筑</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kern w:val="0"/>
                <w:sz w:val="21"/>
                <w:szCs w:val="21"/>
              </w:rPr>
              <w:t>建筑</w:t>
            </w:r>
            <w:r>
              <w:rPr>
                <w:rFonts w:hint="eastAsia" w:ascii="宋体" w:hAnsi="宋体" w:eastAsia="宋体" w:cs="宋体"/>
                <w:color w:val="auto"/>
                <w:kern w:val="0"/>
                <w:sz w:val="21"/>
                <w:szCs w:val="21"/>
                <w:lang w:val="en-US" w:eastAsia="zh-CN"/>
              </w:rPr>
              <w:t>(建筑类型)</w:t>
            </w:r>
            <w:r>
              <w:rPr>
                <w:rFonts w:hint="eastAsia" w:ascii="宋体" w:hAnsi="宋体" w:eastAsia="宋体" w:cs="宋体"/>
                <w:color w:val="auto"/>
                <w:kern w:val="0"/>
                <w:sz w:val="21"/>
                <w:szCs w:val="21"/>
                <w:lang w:eastAsia="zh-CN"/>
              </w:rPr>
              <w:t>。</w:t>
            </w:r>
          </w:p>
          <w:p w14:paraId="28F62F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受检</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内电气</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主要包括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变电所</w:t>
            </w:r>
            <w:r>
              <w:rPr>
                <w:rFonts w:hint="eastAsia" w:ascii="宋体" w:hAnsi="宋体" w:eastAsia="宋体" w:cs="宋体"/>
                <w:color w:val="auto"/>
                <w:kern w:val="0"/>
                <w:sz w:val="21"/>
                <w:szCs w:val="21"/>
                <w:lang w:val="en-US" w:eastAsia="zh-CN"/>
              </w:rPr>
              <w:t>X</w:t>
            </w:r>
            <w:r>
              <w:rPr>
                <w:rFonts w:hint="eastAsia" w:ascii="宋体" w:hAnsi="宋体" w:eastAsia="宋体" w:cs="宋体"/>
                <w:color w:val="auto"/>
                <w:sz w:val="21"/>
                <w:szCs w:val="21"/>
                <w:lang w:val="en-US" w:eastAsia="zh-CN"/>
              </w:rPr>
              <w:t>个，干式变压器</w:t>
            </w:r>
            <w:r>
              <w:rPr>
                <w:rFonts w:hint="eastAsia" w:ascii="宋体" w:hAnsi="宋体" w:eastAsia="宋体" w:cs="宋体"/>
                <w:color w:val="auto"/>
                <w:kern w:val="0"/>
                <w:sz w:val="21"/>
                <w:szCs w:val="21"/>
                <w:lang w:val="en-US" w:eastAsia="zh-CN"/>
              </w:rPr>
              <w:t>X</w:t>
            </w:r>
            <w:r>
              <w:rPr>
                <w:rFonts w:hint="eastAsia" w:ascii="宋体" w:hAnsi="宋体" w:eastAsia="宋体" w:cs="宋体"/>
                <w:color w:val="auto"/>
                <w:sz w:val="21"/>
                <w:szCs w:val="21"/>
                <w:lang w:val="en-US" w:eastAsia="zh-CN"/>
              </w:rPr>
              <w:t>台；配电室</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配电</w:t>
            </w:r>
            <w:r>
              <w:rPr>
                <w:rFonts w:hint="eastAsia" w:ascii="宋体" w:hAnsi="宋体" w:eastAsia="宋体" w:cs="宋体"/>
                <w:color w:val="auto"/>
                <w:sz w:val="21"/>
                <w:szCs w:val="21"/>
                <w:lang w:val="en-US" w:eastAsia="zh-CN"/>
              </w:rPr>
              <w:t>控制柜（</w:t>
            </w:r>
            <w:r>
              <w:rPr>
                <w:rFonts w:hint="eastAsia" w:ascii="宋体" w:hAnsi="宋体" w:eastAsia="宋体" w:cs="宋体"/>
                <w:color w:val="auto"/>
                <w:sz w:val="21"/>
                <w:szCs w:val="21"/>
              </w:rPr>
              <w:t>箱</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插座</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开关</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照明灯具</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接地与等电位</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电缆电气线路</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电动机</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sz w:val="21"/>
                <w:szCs w:val="21"/>
              </w:rPr>
              <w:t>台</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sz w:val="21"/>
                <w:szCs w:val="21"/>
                <w:lang w:eastAsia="zh-CN"/>
              </w:rPr>
              <w:t>。</w:t>
            </w:r>
          </w:p>
          <w:p w14:paraId="606F4A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7DB58D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25F1D97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2E86DD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489B3A7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7A58CD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14:paraId="2A472F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val="en-US" w:eastAsia="zh-CN"/>
              </w:rPr>
            </w:pPr>
          </w:p>
        </w:tc>
      </w:tr>
    </w:tbl>
    <w:p w14:paraId="2BBF650D">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33789B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color w:val="auto"/>
          <w:kern w:val="0"/>
          <w:position w:val="-2"/>
          <w:sz w:val="32"/>
          <w:szCs w:val="32"/>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14:paraId="4C9A6A19">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14:paraId="1B36A459">
      <w:pPr>
        <w:keepNext w:val="0"/>
        <w:keepLines w:val="0"/>
        <w:pageBreakBefore w:val="0"/>
        <w:widowControl/>
        <w:numPr>
          <w:ilvl w:val="0"/>
          <w:numId w:val="33"/>
        </w:numPr>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检测子项及结果</w:t>
      </w:r>
    </w:p>
    <w:tbl>
      <w:tblPr>
        <w:tblStyle w:val="88"/>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0"/>
        <w:gridCol w:w="1513"/>
        <w:gridCol w:w="1623"/>
        <w:gridCol w:w="3054"/>
      </w:tblGrid>
      <w:tr w14:paraId="78DA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9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681C0">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检测子项及结果</w:t>
            </w:r>
          </w:p>
        </w:tc>
      </w:tr>
      <w:tr w14:paraId="58A6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F3D">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检测子项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4C54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技术要点项现场检测数量</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EC6D">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不符合数量</w:t>
            </w:r>
          </w:p>
        </w:tc>
      </w:tr>
      <w:tr w14:paraId="766C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141CD">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配电变压器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6E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9CD6">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11B">
            <w:pPr>
              <w:jc w:val="center"/>
              <w:rPr>
                <w:rFonts w:hint="eastAsia" w:ascii="黑体" w:hAnsi="黑体" w:eastAsia="黑体" w:cs="黑体"/>
                <w:i w:val="0"/>
                <w:iCs w:val="0"/>
                <w:color w:val="auto"/>
                <w:sz w:val="21"/>
                <w:szCs w:val="21"/>
                <w:u w:val="none"/>
              </w:rPr>
            </w:pPr>
          </w:p>
        </w:tc>
      </w:tr>
      <w:tr w14:paraId="4808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BF29">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2EC">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2D8">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FD80">
            <w:pPr>
              <w:jc w:val="center"/>
              <w:rPr>
                <w:rFonts w:hint="eastAsia" w:ascii="黑体" w:hAnsi="黑体" w:eastAsia="黑体" w:cs="黑体"/>
                <w:i w:val="0"/>
                <w:iCs w:val="0"/>
                <w:color w:val="auto"/>
                <w:sz w:val="21"/>
                <w:szCs w:val="21"/>
                <w:u w:val="none"/>
              </w:rPr>
            </w:pPr>
          </w:p>
        </w:tc>
      </w:tr>
      <w:tr w14:paraId="6CDC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BCF7">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AB99">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A956">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CFA2">
            <w:pPr>
              <w:jc w:val="center"/>
              <w:rPr>
                <w:rFonts w:hint="eastAsia" w:ascii="黑体" w:hAnsi="黑体" w:eastAsia="黑体" w:cs="黑体"/>
                <w:i w:val="0"/>
                <w:iCs w:val="0"/>
                <w:color w:val="auto"/>
                <w:sz w:val="21"/>
                <w:szCs w:val="21"/>
                <w:u w:val="none"/>
              </w:rPr>
            </w:pPr>
          </w:p>
        </w:tc>
      </w:tr>
      <w:tr w14:paraId="167F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45368">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高压配电装置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FF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E133">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6AE">
            <w:pPr>
              <w:jc w:val="center"/>
              <w:rPr>
                <w:rFonts w:hint="eastAsia" w:ascii="黑体" w:hAnsi="黑体" w:eastAsia="黑体" w:cs="黑体"/>
                <w:i w:val="0"/>
                <w:iCs w:val="0"/>
                <w:color w:val="auto"/>
                <w:sz w:val="21"/>
                <w:szCs w:val="21"/>
                <w:u w:val="none"/>
              </w:rPr>
            </w:pPr>
          </w:p>
        </w:tc>
      </w:tr>
      <w:tr w14:paraId="7385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6319">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769">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BB29">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99F">
            <w:pPr>
              <w:jc w:val="center"/>
              <w:rPr>
                <w:rFonts w:hint="eastAsia" w:ascii="黑体" w:hAnsi="黑体" w:eastAsia="黑体" w:cs="黑体"/>
                <w:i w:val="0"/>
                <w:iCs w:val="0"/>
                <w:color w:val="auto"/>
                <w:sz w:val="21"/>
                <w:szCs w:val="21"/>
                <w:u w:val="none"/>
              </w:rPr>
            </w:pPr>
          </w:p>
        </w:tc>
      </w:tr>
      <w:tr w14:paraId="2885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6FB4">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5B9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9D9">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76F">
            <w:pPr>
              <w:jc w:val="center"/>
              <w:rPr>
                <w:rFonts w:hint="eastAsia" w:ascii="黑体" w:hAnsi="黑体" w:eastAsia="黑体" w:cs="黑体"/>
                <w:i w:val="0"/>
                <w:iCs w:val="0"/>
                <w:color w:val="auto"/>
                <w:sz w:val="21"/>
                <w:szCs w:val="21"/>
                <w:u w:val="none"/>
              </w:rPr>
            </w:pPr>
          </w:p>
        </w:tc>
      </w:tr>
      <w:tr w14:paraId="1532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9409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低压配电和控制电器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BD7">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EC0A">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3EF">
            <w:pPr>
              <w:jc w:val="center"/>
              <w:rPr>
                <w:rFonts w:hint="eastAsia" w:ascii="黑体" w:hAnsi="黑体" w:eastAsia="黑体" w:cs="黑体"/>
                <w:i w:val="0"/>
                <w:iCs w:val="0"/>
                <w:color w:val="auto"/>
                <w:sz w:val="21"/>
                <w:szCs w:val="21"/>
                <w:u w:val="none"/>
              </w:rPr>
            </w:pPr>
          </w:p>
        </w:tc>
      </w:tr>
      <w:tr w14:paraId="53F5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7790">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EB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FDCD">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E49">
            <w:pPr>
              <w:jc w:val="center"/>
              <w:rPr>
                <w:rFonts w:hint="eastAsia" w:ascii="黑体" w:hAnsi="黑体" w:eastAsia="黑体" w:cs="黑体"/>
                <w:i w:val="0"/>
                <w:iCs w:val="0"/>
                <w:color w:val="auto"/>
                <w:sz w:val="21"/>
                <w:szCs w:val="21"/>
                <w:u w:val="none"/>
              </w:rPr>
            </w:pPr>
          </w:p>
        </w:tc>
      </w:tr>
      <w:tr w14:paraId="009F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59A0">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89A3">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E511">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E7BD">
            <w:pPr>
              <w:jc w:val="center"/>
              <w:rPr>
                <w:rFonts w:hint="eastAsia" w:ascii="黑体" w:hAnsi="黑体" w:eastAsia="黑体" w:cs="黑体"/>
                <w:i w:val="0"/>
                <w:iCs w:val="0"/>
                <w:color w:val="auto"/>
                <w:sz w:val="21"/>
                <w:szCs w:val="21"/>
                <w:u w:val="none"/>
              </w:rPr>
            </w:pPr>
          </w:p>
        </w:tc>
      </w:tr>
      <w:tr w14:paraId="639C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5FDBD">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剩余电流保护装置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14CA">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4AFA">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3BB9">
            <w:pPr>
              <w:jc w:val="center"/>
              <w:rPr>
                <w:rFonts w:hint="eastAsia" w:ascii="黑体" w:hAnsi="黑体" w:eastAsia="黑体" w:cs="黑体"/>
                <w:i w:val="0"/>
                <w:iCs w:val="0"/>
                <w:color w:val="auto"/>
                <w:sz w:val="21"/>
                <w:szCs w:val="21"/>
                <w:u w:val="none"/>
              </w:rPr>
            </w:pPr>
          </w:p>
        </w:tc>
      </w:tr>
      <w:tr w14:paraId="160D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753C">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CAE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6D7">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0DBF">
            <w:pPr>
              <w:jc w:val="center"/>
              <w:rPr>
                <w:rFonts w:hint="eastAsia" w:ascii="黑体" w:hAnsi="黑体" w:eastAsia="黑体" w:cs="黑体"/>
                <w:i w:val="0"/>
                <w:iCs w:val="0"/>
                <w:color w:val="auto"/>
                <w:sz w:val="21"/>
                <w:szCs w:val="21"/>
                <w:u w:val="none"/>
              </w:rPr>
            </w:pPr>
          </w:p>
        </w:tc>
      </w:tr>
      <w:tr w14:paraId="413F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316C">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713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B20">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E2E3">
            <w:pPr>
              <w:jc w:val="center"/>
              <w:rPr>
                <w:rFonts w:hint="eastAsia" w:ascii="黑体" w:hAnsi="黑体" w:eastAsia="黑体" w:cs="黑体"/>
                <w:i w:val="0"/>
                <w:iCs w:val="0"/>
                <w:color w:val="auto"/>
                <w:sz w:val="21"/>
                <w:szCs w:val="21"/>
                <w:u w:val="none"/>
              </w:rPr>
            </w:pPr>
          </w:p>
        </w:tc>
      </w:tr>
      <w:tr w14:paraId="19BA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2E3E9">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低压配电柜</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C53">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BCBC">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5201">
            <w:pPr>
              <w:jc w:val="center"/>
              <w:rPr>
                <w:rFonts w:hint="eastAsia" w:ascii="黑体" w:hAnsi="黑体" w:eastAsia="黑体" w:cs="黑体"/>
                <w:i w:val="0"/>
                <w:iCs w:val="0"/>
                <w:color w:val="auto"/>
                <w:sz w:val="21"/>
                <w:szCs w:val="21"/>
                <w:u w:val="none"/>
              </w:rPr>
            </w:pPr>
          </w:p>
        </w:tc>
      </w:tr>
      <w:tr w14:paraId="1376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D7FD">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542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84C">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EFB9">
            <w:pPr>
              <w:jc w:val="center"/>
              <w:rPr>
                <w:rFonts w:hint="eastAsia" w:ascii="黑体" w:hAnsi="黑体" w:eastAsia="黑体" w:cs="黑体"/>
                <w:i w:val="0"/>
                <w:iCs w:val="0"/>
                <w:color w:val="auto"/>
                <w:sz w:val="21"/>
                <w:szCs w:val="21"/>
                <w:u w:val="none"/>
              </w:rPr>
            </w:pPr>
          </w:p>
        </w:tc>
      </w:tr>
      <w:tr w14:paraId="7755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A402">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B0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F85">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61CB">
            <w:pPr>
              <w:jc w:val="center"/>
              <w:rPr>
                <w:rFonts w:hint="eastAsia" w:ascii="黑体" w:hAnsi="黑体" w:eastAsia="黑体" w:cs="黑体"/>
                <w:i w:val="0"/>
                <w:iCs w:val="0"/>
                <w:color w:val="auto"/>
                <w:sz w:val="21"/>
                <w:szCs w:val="21"/>
                <w:u w:val="none"/>
              </w:rPr>
            </w:pPr>
          </w:p>
        </w:tc>
      </w:tr>
      <w:tr w14:paraId="5CDC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D19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电线和电缆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908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5AE">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49ED">
            <w:pPr>
              <w:jc w:val="center"/>
              <w:rPr>
                <w:rFonts w:hint="eastAsia" w:ascii="黑体" w:hAnsi="黑体" w:eastAsia="黑体" w:cs="黑体"/>
                <w:i w:val="0"/>
                <w:iCs w:val="0"/>
                <w:color w:val="auto"/>
                <w:sz w:val="21"/>
                <w:szCs w:val="21"/>
                <w:u w:val="none"/>
              </w:rPr>
            </w:pPr>
          </w:p>
        </w:tc>
      </w:tr>
      <w:tr w14:paraId="485D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E299">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DBB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3059">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ED65">
            <w:pPr>
              <w:jc w:val="center"/>
              <w:rPr>
                <w:rFonts w:hint="eastAsia" w:ascii="黑体" w:hAnsi="黑体" w:eastAsia="黑体" w:cs="黑体"/>
                <w:i w:val="0"/>
                <w:iCs w:val="0"/>
                <w:color w:val="auto"/>
                <w:sz w:val="21"/>
                <w:szCs w:val="21"/>
                <w:u w:val="none"/>
              </w:rPr>
            </w:pPr>
          </w:p>
        </w:tc>
      </w:tr>
      <w:tr w14:paraId="52D6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41ED">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841">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5C5D">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AD1D">
            <w:pPr>
              <w:jc w:val="center"/>
              <w:rPr>
                <w:rFonts w:hint="eastAsia" w:ascii="黑体" w:hAnsi="黑体" w:eastAsia="黑体" w:cs="黑体"/>
                <w:i w:val="0"/>
                <w:iCs w:val="0"/>
                <w:color w:val="auto"/>
                <w:sz w:val="21"/>
                <w:szCs w:val="21"/>
                <w:u w:val="none"/>
              </w:rPr>
            </w:pPr>
          </w:p>
        </w:tc>
      </w:tr>
      <w:tr w14:paraId="2E59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2EE8">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线路敷设</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B3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630B">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0E5">
            <w:pPr>
              <w:jc w:val="center"/>
              <w:rPr>
                <w:rFonts w:hint="eastAsia" w:ascii="黑体" w:hAnsi="黑体" w:eastAsia="黑体" w:cs="黑体"/>
                <w:i w:val="0"/>
                <w:iCs w:val="0"/>
                <w:color w:val="auto"/>
                <w:sz w:val="21"/>
                <w:szCs w:val="21"/>
                <w:u w:val="none"/>
              </w:rPr>
            </w:pPr>
          </w:p>
        </w:tc>
      </w:tr>
      <w:tr w14:paraId="4F65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B3F8">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0AC0">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19BD">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D7C">
            <w:pPr>
              <w:jc w:val="center"/>
              <w:rPr>
                <w:rFonts w:hint="eastAsia" w:ascii="黑体" w:hAnsi="黑体" w:eastAsia="黑体" w:cs="黑体"/>
                <w:i w:val="0"/>
                <w:iCs w:val="0"/>
                <w:color w:val="auto"/>
                <w:sz w:val="21"/>
                <w:szCs w:val="21"/>
                <w:u w:val="none"/>
              </w:rPr>
            </w:pPr>
          </w:p>
        </w:tc>
      </w:tr>
      <w:tr w14:paraId="176B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CCD1">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33A">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1826">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E798">
            <w:pPr>
              <w:jc w:val="center"/>
              <w:rPr>
                <w:rFonts w:hint="eastAsia" w:ascii="黑体" w:hAnsi="黑体" w:eastAsia="黑体" w:cs="黑体"/>
                <w:i w:val="0"/>
                <w:iCs w:val="0"/>
                <w:color w:val="auto"/>
                <w:sz w:val="21"/>
                <w:szCs w:val="21"/>
                <w:u w:val="none"/>
              </w:rPr>
            </w:pPr>
          </w:p>
        </w:tc>
      </w:tr>
      <w:tr w14:paraId="4641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17A77">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导体连接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ACE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F4D0">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004">
            <w:pPr>
              <w:jc w:val="center"/>
              <w:rPr>
                <w:rFonts w:hint="eastAsia" w:ascii="黑体" w:hAnsi="黑体" w:eastAsia="黑体" w:cs="黑体"/>
                <w:i w:val="0"/>
                <w:iCs w:val="0"/>
                <w:color w:val="auto"/>
                <w:sz w:val="21"/>
                <w:szCs w:val="21"/>
                <w:u w:val="none"/>
              </w:rPr>
            </w:pPr>
          </w:p>
        </w:tc>
      </w:tr>
      <w:tr w14:paraId="7402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F8C4">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BE63">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C45">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D183">
            <w:pPr>
              <w:jc w:val="center"/>
              <w:rPr>
                <w:rFonts w:hint="eastAsia" w:ascii="黑体" w:hAnsi="黑体" w:eastAsia="黑体" w:cs="黑体"/>
                <w:i w:val="0"/>
                <w:iCs w:val="0"/>
                <w:color w:val="auto"/>
                <w:sz w:val="21"/>
                <w:szCs w:val="21"/>
                <w:u w:val="none"/>
              </w:rPr>
            </w:pPr>
          </w:p>
        </w:tc>
      </w:tr>
      <w:tr w14:paraId="400C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DF9C">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8D3">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2C4">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36D7">
            <w:pPr>
              <w:jc w:val="center"/>
              <w:rPr>
                <w:rFonts w:hint="eastAsia" w:ascii="黑体" w:hAnsi="黑体" w:eastAsia="黑体" w:cs="黑体"/>
                <w:i w:val="0"/>
                <w:iCs w:val="0"/>
                <w:color w:val="auto"/>
                <w:sz w:val="21"/>
                <w:szCs w:val="21"/>
                <w:u w:val="none"/>
              </w:rPr>
            </w:pPr>
          </w:p>
        </w:tc>
      </w:tr>
      <w:tr w14:paraId="3547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F0F1">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照明灯具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92B0">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56B">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170">
            <w:pPr>
              <w:jc w:val="center"/>
              <w:rPr>
                <w:rFonts w:hint="eastAsia" w:ascii="黑体" w:hAnsi="黑体" w:eastAsia="黑体" w:cs="黑体"/>
                <w:i w:val="0"/>
                <w:iCs w:val="0"/>
                <w:color w:val="auto"/>
                <w:sz w:val="21"/>
                <w:szCs w:val="21"/>
                <w:u w:val="none"/>
              </w:rPr>
            </w:pPr>
          </w:p>
        </w:tc>
      </w:tr>
      <w:tr w14:paraId="36EF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67E8">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6B55">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61B">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1CB">
            <w:pPr>
              <w:jc w:val="center"/>
              <w:rPr>
                <w:rFonts w:hint="eastAsia" w:ascii="黑体" w:hAnsi="黑体" w:eastAsia="黑体" w:cs="黑体"/>
                <w:i w:val="0"/>
                <w:iCs w:val="0"/>
                <w:color w:val="auto"/>
                <w:sz w:val="21"/>
                <w:szCs w:val="21"/>
                <w:u w:val="none"/>
              </w:rPr>
            </w:pPr>
          </w:p>
        </w:tc>
      </w:tr>
      <w:tr w14:paraId="7556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92F1">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B6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E01">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D72">
            <w:pPr>
              <w:jc w:val="center"/>
              <w:rPr>
                <w:rFonts w:hint="eastAsia" w:ascii="黑体" w:hAnsi="黑体" w:eastAsia="黑体" w:cs="黑体"/>
                <w:i w:val="0"/>
                <w:iCs w:val="0"/>
                <w:color w:val="auto"/>
                <w:sz w:val="21"/>
                <w:szCs w:val="21"/>
                <w:u w:val="none"/>
              </w:rPr>
            </w:pPr>
          </w:p>
        </w:tc>
      </w:tr>
      <w:tr w14:paraId="58B3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304A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开关、插座</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809C">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C0D2">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5B5">
            <w:pPr>
              <w:jc w:val="center"/>
              <w:rPr>
                <w:rFonts w:hint="eastAsia" w:ascii="黑体" w:hAnsi="黑体" w:eastAsia="黑体" w:cs="黑体"/>
                <w:i w:val="0"/>
                <w:iCs w:val="0"/>
                <w:color w:val="auto"/>
                <w:sz w:val="21"/>
                <w:szCs w:val="21"/>
                <w:u w:val="none"/>
              </w:rPr>
            </w:pPr>
          </w:p>
        </w:tc>
      </w:tr>
      <w:tr w14:paraId="22AF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50CE">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C5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2130">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8A4C">
            <w:pPr>
              <w:jc w:val="center"/>
              <w:rPr>
                <w:rFonts w:hint="eastAsia" w:ascii="黑体" w:hAnsi="黑体" w:eastAsia="黑体" w:cs="黑体"/>
                <w:i w:val="0"/>
                <w:iCs w:val="0"/>
                <w:color w:val="auto"/>
                <w:sz w:val="21"/>
                <w:szCs w:val="21"/>
                <w:u w:val="none"/>
              </w:rPr>
            </w:pPr>
          </w:p>
        </w:tc>
      </w:tr>
      <w:tr w14:paraId="01BB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D03B">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E1C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B4B">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A51">
            <w:pPr>
              <w:jc w:val="center"/>
              <w:rPr>
                <w:rFonts w:hint="eastAsia" w:ascii="黑体" w:hAnsi="黑体" w:eastAsia="黑体" w:cs="黑体"/>
                <w:i w:val="0"/>
                <w:iCs w:val="0"/>
                <w:color w:val="auto"/>
                <w:sz w:val="21"/>
                <w:szCs w:val="21"/>
                <w:u w:val="none"/>
              </w:rPr>
            </w:pPr>
          </w:p>
        </w:tc>
      </w:tr>
      <w:tr w14:paraId="4012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restart"/>
            <w:tcBorders>
              <w:top w:val="single" w:color="000000" w:sz="4" w:space="0"/>
              <w:left w:val="single" w:color="000000" w:sz="4" w:space="0"/>
              <w:right w:val="single" w:color="000000" w:sz="4" w:space="0"/>
            </w:tcBorders>
            <w:shd w:val="clear" w:color="auto" w:fill="auto"/>
            <w:vAlign w:val="center"/>
          </w:tcPr>
          <w:p w14:paraId="4F67F2D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电动机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E85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689">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B53">
            <w:pPr>
              <w:jc w:val="center"/>
              <w:rPr>
                <w:rFonts w:hint="eastAsia" w:ascii="黑体" w:hAnsi="黑体" w:eastAsia="黑体" w:cs="黑体"/>
                <w:i w:val="0"/>
                <w:iCs w:val="0"/>
                <w:color w:val="auto"/>
                <w:sz w:val="21"/>
                <w:szCs w:val="21"/>
                <w:u w:val="none"/>
              </w:rPr>
            </w:pPr>
          </w:p>
        </w:tc>
      </w:tr>
      <w:tr w14:paraId="5E41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continue"/>
            <w:tcBorders>
              <w:left w:val="single" w:color="000000" w:sz="4" w:space="0"/>
              <w:right w:val="single" w:color="000000" w:sz="4" w:space="0"/>
            </w:tcBorders>
            <w:shd w:val="clear" w:color="auto" w:fill="auto"/>
            <w:vAlign w:val="center"/>
          </w:tcPr>
          <w:p w14:paraId="2B2A9E58">
            <w:pPr>
              <w:jc w:val="center"/>
              <w:rPr>
                <w:rFonts w:hint="eastAsia" w:ascii="黑体" w:hAnsi="黑体" w:eastAsia="黑体" w:cs="黑体"/>
                <w:i w:val="0"/>
                <w:iCs w:val="0"/>
                <w:color w:val="auto"/>
                <w:kern w:val="0"/>
                <w:sz w:val="21"/>
                <w:szCs w:val="21"/>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2E7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456">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251">
            <w:pPr>
              <w:jc w:val="center"/>
              <w:rPr>
                <w:rFonts w:hint="eastAsia" w:ascii="黑体" w:hAnsi="黑体" w:eastAsia="黑体" w:cs="黑体"/>
                <w:i w:val="0"/>
                <w:iCs w:val="0"/>
                <w:color w:val="auto"/>
                <w:sz w:val="21"/>
                <w:szCs w:val="21"/>
                <w:u w:val="none"/>
              </w:rPr>
            </w:pPr>
          </w:p>
        </w:tc>
      </w:tr>
      <w:tr w14:paraId="0FCF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vMerge w:val="continue"/>
            <w:tcBorders>
              <w:left w:val="single" w:color="000000" w:sz="4" w:space="0"/>
              <w:bottom w:val="single" w:color="000000" w:sz="4" w:space="0"/>
              <w:right w:val="single" w:color="000000" w:sz="4" w:space="0"/>
            </w:tcBorders>
            <w:shd w:val="clear" w:color="auto" w:fill="auto"/>
            <w:vAlign w:val="center"/>
          </w:tcPr>
          <w:p w14:paraId="7DDD573D">
            <w:pPr>
              <w:jc w:val="center"/>
              <w:rPr>
                <w:rFonts w:hint="eastAsia" w:ascii="黑体" w:hAnsi="黑体" w:eastAsia="黑体" w:cs="黑体"/>
                <w:i w:val="0"/>
                <w:iCs w:val="0"/>
                <w:color w:val="auto"/>
                <w:kern w:val="0"/>
                <w:sz w:val="21"/>
                <w:szCs w:val="21"/>
                <w:u w:val="none"/>
                <w:lang w:val="en-US" w:eastAsia="zh-CN" w:bidi="ar"/>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C54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3C64">
            <w:pPr>
              <w:jc w:val="center"/>
              <w:rPr>
                <w:rFonts w:hint="eastAsia" w:ascii="黑体" w:hAnsi="黑体" w:eastAsia="黑体" w:cs="黑体"/>
                <w:i w:val="0"/>
                <w:iCs w:val="0"/>
                <w:color w:val="auto"/>
                <w:sz w:val="21"/>
                <w:szCs w:val="21"/>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68AB">
            <w:pPr>
              <w:jc w:val="center"/>
              <w:rPr>
                <w:rFonts w:hint="eastAsia" w:ascii="黑体" w:hAnsi="黑体" w:eastAsia="黑体" w:cs="黑体"/>
                <w:i w:val="0"/>
                <w:iCs w:val="0"/>
                <w:color w:val="auto"/>
                <w:sz w:val="21"/>
                <w:szCs w:val="21"/>
                <w:u w:val="none"/>
              </w:rPr>
            </w:pPr>
          </w:p>
        </w:tc>
      </w:tr>
    </w:tbl>
    <w:p w14:paraId="384DD1DF">
      <w:pPr>
        <w:jc w:val="right"/>
        <w:rPr>
          <w:rFonts w:hint="eastAsia" w:ascii="黑体" w:hAnsi="黑体" w:eastAsia="黑体" w:cs="黑体"/>
          <w:b w:val="0"/>
          <w:bCs w:val="0"/>
          <w:color w:val="auto"/>
          <w:sz w:val="21"/>
          <w:szCs w:val="21"/>
          <w:lang w:val="en-US" w:eastAsia="zh-CN"/>
        </w:rPr>
      </w:pPr>
      <w:r>
        <w:rPr>
          <w:rFonts w:hint="eastAsia" w:ascii="宋体" w:hAnsi="宋体" w:eastAsia="宋体" w:cs="宋体"/>
          <w:color w:val="auto"/>
          <w:sz w:val="21"/>
          <w:szCs w:val="21"/>
          <w:lang w:val="en-US" w:eastAsia="zh-CN"/>
        </w:rPr>
        <w:t>第    页共   页</w:t>
      </w:r>
      <w:r>
        <w:rPr>
          <w:rFonts w:hint="eastAsia" w:ascii="黑体" w:hAnsi="黑体" w:eastAsia="黑体" w:cs="黑体"/>
          <w:b w:val="0"/>
          <w:bCs w:val="0"/>
          <w:color w:val="auto"/>
          <w:sz w:val="21"/>
          <w:szCs w:val="21"/>
          <w:lang w:val="en-US" w:eastAsia="zh-CN"/>
        </w:rPr>
        <w:br w:type="page"/>
      </w:r>
    </w:p>
    <w:tbl>
      <w:tblPr>
        <w:tblStyle w:val="88"/>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7"/>
        <w:gridCol w:w="1773"/>
        <w:gridCol w:w="1513"/>
        <w:gridCol w:w="1623"/>
        <w:gridCol w:w="1268"/>
        <w:gridCol w:w="1786"/>
      </w:tblGrid>
      <w:tr w14:paraId="1193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5780A">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稳压整流设备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56AF">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C62">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10C9">
            <w:pPr>
              <w:jc w:val="center"/>
              <w:rPr>
                <w:rFonts w:hint="eastAsia" w:ascii="黑体" w:hAnsi="黑体" w:eastAsia="黑体" w:cs="黑体"/>
                <w:i w:val="0"/>
                <w:iCs w:val="0"/>
                <w:color w:val="auto"/>
                <w:sz w:val="21"/>
                <w:szCs w:val="21"/>
                <w:u w:val="none"/>
              </w:rPr>
            </w:pPr>
          </w:p>
        </w:tc>
      </w:tr>
      <w:tr w14:paraId="01DC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C77E">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0A6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CF8">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140B">
            <w:pPr>
              <w:jc w:val="center"/>
              <w:rPr>
                <w:rFonts w:hint="eastAsia" w:ascii="黑体" w:hAnsi="黑体" w:eastAsia="黑体" w:cs="黑体"/>
                <w:i w:val="0"/>
                <w:iCs w:val="0"/>
                <w:color w:val="auto"/>
                <w:sz w:val="21"/>
                <w:szCs w:val="21"/>
                <w:u w:val="none"/>
              </w:rPr>
            </w:pPr>
          </w:p>
        </w:tc>
      </w:tr>
      <w:tr w14:paraId="5A69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307F">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C8C">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EE03">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6FC4F">
            <w:pPr>
              <w:jc w:val="center"/>
              <w:rPr>
                <w:rFonts w:hint="eastAsia" w:ascii="黑体" w:hAnsi="黑体" w:eastAsia="黑体" w:cs="黑体"/>
                <w:i w:val="0"/>
                <w:iCs w:val="0"/>
                <w:color w:val="auto"/>
                <w:sz w:val="21"/>
                <w:szCs w:val="21"/>
                <w:u w:val="none"/>
              </w:rPr>
            </w:pPr>
          </w:p>
        </w:tc>
      </w:tr>
      <w:tr w14:paraId="5B2C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7ADF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电热器具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558">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0D7">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CC5A">
            <w:pPr>
              <w:jc w:val="center"/>
              <w:rPr>
                <w:rFonts w:hint="eastAsia" w:ascii="黑体" w:hAnsi="黑体" w:eastAsia="黑体" w:cs="黑体"/>
                <w:i w:val="0"/>
                <w:iCs w:val="0"/>
                <w:color w:val="auto"/>
                <w:sz w:val="21"/>
                <w:szCs w:val="21"/>
                <w:u w:val="none"/>
              </w:rPr>
            </w:pPr>
          </w:p>
        </w:tc>
      </w:tr>
      <w:tr w14:paraId="7987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AA05">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0B51">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ED3">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FC01">
            <w:pPr>
              <w:jc w:val="center"/>
              <w:rPr>
                <w:rFonts w:hint="eastAsia" w:ascii="黑体" w:hAnsi="黑体" w:eastAsia="黑体" w:cs="黑体"/>
                <w:i w:val="0"/>
                <w:iCs w:val="0"/>
                <w:color w:val="auto"/>
                <w:sz w:val="21"/>
                <w:szCs w:val="21"/>
                <w:u w:val="none"/>
              </w:rPr>
            </w:pPr>
          </w:p>
        </w:tc>
      </w:tr>
      <w:tr w14:paraId="1AA4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762F">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739">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D818">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35A8">
            <w:pPr>
              <w:jc w:val="center"/>
              <w:rPr>
                <w:rFonts w:hint="eastAsia" w:ascii="黑体" w:hAnsi="黑体" w:eastAsia="黑体" w:cs="黑体"/>
                <w:i w:val="0"/>
                <w:iCs w:val="0"/>
                <w:color w:val="auto"/>
                <w:sz w:val="21"/>
                <w:szCs w:val="21"/>
                <w:u w:val="none"/>
              </w:rPr>
            </w:pPr>
          </w:p>
        </w:tc>
      </w:tr>
      <w:tr w14:paraId="0BBA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5C6F">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空调设备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09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A2F">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DEAAF">
            <w:pPr>
              <w:jc w:val="center"/>
              <w:rPr>
                <w:rFonts w:hint="eastAsia" w:ascii="黑体" w:hAnsi="黑体" w:eastAsia="黑体" w:cs="黑体"/>
                <w:i w:val="0"/>
                <w:iCs w:val="0"/>
                <w:color w:val="auto"/>
                <w:sz w:val="21"/>
                <w:szCs w:val="21"/>
                <w:u w:val="none"/>
              </w:rPr>
            </w:pPr>
          </w:p>
        </w:tc>
      </w:tr>
      <w:tr w14:paraId="13A1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7C91">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6B7">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D0F5">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3C57">
            <w:pPr>
              <w:jc w:val="center"/>
              <w:rPr>
                <w:rFonts w:hint="eastAsia" w:ascii="黑体" w:hAnsi="黑体" w:eastAsia="黑体" w:cs="黑体"/>
                <w:i w:val="0"/>
                <w:iCs w:val="0"/>
                <w:color w:val="auto"/>
                <w:sz w:val="21"/>
                <w:szCs w:val="21"/>
                <w:u w:val="none"/>
              </w:rPr>
            </w:pPr>
          </w:p>
        </w:tc>
      </w:tr>
      <w:tr w14:paraId="6330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C5A4">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3FD">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8B5B">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E2777">
            <w:pPr>
              <w:jc w:val="center"/>
              <w:rPr>
                <w:rFonts w:hint="eastAsia" w:ascii="黑体" w:hAnsi="黑体" w:eastAsia="黑体" w:cs="黑体"/>
                <w:i w:val="0"/>
                <w:iCs w:val="0"/>
                <w:color w:val="auto"/>
                <w:sz w:val="21"/>
                <w:szCs w:val="21"/>
                <w:u w:val="none"/>
              </w:rPr>
            </w:pPr>
          </w:p>
        </w:tc>
      </w:tr>
      <w:tr w14:paraId="46D3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48B3">
            <w:pPr>
              <w:keepNext w:val="0"/>
              <w:keepLines w:val="0"/>
              <w:widowControl/>
              <w:suppressLineNumbers w:val="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充电设施</w:t>
            </w:r>
          </w:p>
          <w:p w14:paraId="78AADA2F">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F92">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D3B">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5707">
            <w:pPr>
              <w:jc w:val="center"/>
              <w:rPr>
                <w:rFonts w:hint="eastAsia" w:ascii="黑体" w:hAnsi="黑体" w:eastAsia="黑体" w:cs="黑体"/>
                <w:i w:val="0"/>
                <w:iCs w:val="0"/>
                <w:color w:val="auto"/>
                <w:sz w:val="21"/>
                <w:szCs w:val="21"/>
                <w:u w:val="none"/>
              </w:rPr>
            </w:pPr>
          </w:p>
        </w:tc>
      </w:tr>
      <w:tr w14:paraId="37EE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B63D">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D0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A50C">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3EF3D">
            <w:pPr>
              <w:jc w:val="center"/>
              <w:rPr>
                <w:rFonts w:hint="eastAsia" w:ascii="黑体" w:hAnsi="黑体" w:eastAsia="黑体" w:cs="黑体"/>
                <w:i w:val="0"/>
                <w:iCs w:val="0"/>
                <w:color w:val="auto"/>
                <w:sz w:val="21"/>
                <w:szCs w:val="21"/>
                <w:u w:val="none"/>
              </w:rPr>
            </w:pPr>
          </w:p>
        </w:tc>
      </w:tr>
      <w:tr w14:paraId="21BD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B791">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C7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BB2">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F0CE">
            <w:pPr>
              <w:jc w:val="center"/>
              <w:rPr>
                <w:rFonts w:hint="eastAsia" w:ascii="黑体" w:hAnsi="黑体" w:eastAsia="黑体" w:cs="黑体"/>
                <w:i w:val="0"/>
                <w:iCs w:val="0"/>
                <w:color w:val="auto"/>
                <w:sz w:val="21"/>
                <w:szCs w:val="21"/>
                <w:u w:val="none"/>
              </w:rPr>
            </w:pPr>
          </w:p>
        </w:tc>
      </w:tr>
      <w:tr w14:paraId="3BA6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FD05B">
            <w:pPr>
              <w:keepNext w:val="0"/>
              <w:keepLines w:val="0"/>
              <w:widowControl/>
              <w:suppressLineNumbers w:val="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自备电源装置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E09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6BA">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909BC">
            <w:pPr>
              <w:jc w:val="center"/>
              <w:rPr>
                <w:rFonts w:hint="eastAsia" w:ascii="黑体" w:hAnsi="黑体" w:eastAsia="黑体" w:cs="黑体"/>
                <w:i w:val="0"/>
                <w:iCs w:val="0"/>
                <w:color w:val="auto"/>
                <w:sz w:val="21"/>
                <w:szCs w:val="21"/>
                <w:u w:val="none"/>
              </w:rPr>
            </w:pPr>
          </w:p>
        </w:tc>
      </w:tr>
      <w:tr w14:paraId="2B24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3787">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34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86D6">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87BA4">
            <w:pPr>
              <w:jc w:val="center"/>
              <w:rPr>
                <w:rFonts w:hint="eastAsia" w:ascii="黑体" w:hAnsi="黑体" w:eastAsia="黑体" w:cs="黑体"/>
                <w:i w:val="0"/>
                <w:iCs w:val="0"/>
                <w:color w:val="auto"/>
                <w:sz w:val="21"/>
                <w:szCs w:val="21"/>
                <w:u w:val="none"/>
              </w:rPr>
            </w:pPr>
          </w:p>
        </w:tc>
      </w:tr>
      <w:tr w14:paraId="6933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CC18">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DC6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185">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4261">
            <w:pPr>
              <w:jc w:val="center"/>
              <w:rPr>
                <w:rFonts w:hint="eastAsia" w:ascii="黑体" w:hAnsi="黑体" w:eastAsia="黑体" w:cs="黑体"/>
                <w:i w:val="0"/>
                <w:iCs w:val="0"/>
                <w:color w:val="auto"/>
                <w:sz w:val="21"/>
                <w:szCs w:val="21"/>
                <w:u w:val="none"/>
              </w:rPr>
            </w:pPr>
          </w:p>
        </w:tc>
      </w:tr>
      <w:tr w14:paraId="4AF0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97B7E">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接地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649">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29A">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508E6">
            <w:pPr>
              <w:jc w:val="center"/>
              <w:rPr>
                <w:rFonts w:hint="eastAsia" w:ascii="黑体" w:hAnsi="黑体" w:eastAsia="黑体" w:cs="黑体"/>
                <w:i w:val="0"/>
                <w:iCs w:val="0"/>
                <w:color w:val="auto"/>
                <w:sz w:val="21"/>
                <w:szCs w:val="21"/>
                <w:u w:val="none"/>
              </w:rPr>
            </w:pPr>
          </w:p>
        </w:tc>
      </w:tr>
      <w:tr w14:paraId="39C9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EDFB">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A930">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BDC7">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D315D">
            <w:pPr>
              <w:jc w:val="center"/>
              <w:rPr>
                <w:rFonts w:hint="eastAsia" w:ascii="黑体" w:hAnsi="黑体" w:eastAsia="黑体" w:cs="黑体"/>
                <w:i w:val="0"/>
                <w:iCs w:val="0"/>
                <w:color w:val="auto"/>
                <w:sz w:val="21"/>
                <w:szCs w:val="21"/>
                <w:u w:val="none"/>
              </w:rPr>
            </w:pPr>
          </w:p>
        </w:tc>
      </w:tr>
      <w:tr w14:paraId="2706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63EA">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A8B">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6B21">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3E77">
            <w:pPr>
              <w:jc w:val="center"/>
              <w:rPr>
                <w:rFonts w:hint="eastAsia" w:ascii="黑体" w:hAnsi="黑体" w:eastAsia="黑体" w:cs="黑体"/>
                <w:i w:val="0"/>
                <w:iCs w:val="0"/>
                <w:color w:val="auto"/>
                <w:sz w:val="21"/>
                <w:szCs w:val="21"/>
                <w:u w:val="none"/>
              </w:rPr>
            </w:pPr>
          </w:p>
        </w:tc>
      </w:tr>
      <w:tr w14:paraId="6510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6866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等电位联结</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F96">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187">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27519">
            <w:pPr>
              <w:jc w:val="center"/>
              <w:rPr>
                <w:rFonts w:hint="eastAsia" w:ascii="黑体" w:hAnsi="黑体" w:eastAsia="黑体" w:cs="黑体"/>
                <w:i w:val="0"/>
                <w:iCs w:val="0"/>
                <w:color w:val="auto"/>
                <w:sz w:val="21"/>
                <w:szCs w:val="21"/>
                <w:u w:val="none"/>
              </w:rPr>
            </w:pPr>
          </w:p>
        </w:tc>
      </w:tr>
      <w:tr w14:paraId="7AC3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F4CD">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FC3">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A99">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935F3">
            <w:pPr>
              <w:jc w:val="center"/>
              <w:rPr>
                <w:rFonts w:hint="eastAsia" w:ascii="黑体" w:hAnsi="黑体" w:eastAsia="黑体" w:cs="黑体"/>
                <w:i w:val="0"/>
                <w:iCs w:val="0"/>
                <w:color w:val="auto"/>
                <w:sz w:val="21"/>
                <w:szCs w:val="21"/>
                <w:u w:val="none"/>
              </w:rPr>
            </w:pPr>
          </w:p>
        </w:tc>
      </w:tr>
      <w:tr w14:paraId="5165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26BB">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A4">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B15">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1A457">
            <w:pPr>
              <w:jc w:val="center"/>
              <w:rPr>
                <w:rFonts w:hint="eastAsia" w:ascii="黑体" w:hAnsi="黑体" w:eastAsia="黑体" w:cs="黑体"/>
                <w:i w:val="0"/>
                <w:iCs w:val="0"/>
                <w:color w:val="auto"/>
                <w:sz w:val="21"/>
                <w:szCs w:val="21"/>
                <w:u w:val="none"/>
              </w:rPr>
            </w:pPr>
          </w:p>
        </w:tc>
      </w:tr>
      <w:tr w14:paraId="6BA2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54198">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综 合 评 定 及 说 明</w:t>
            </w:r>
          </w:p>
        </w:tc>
      </w:tr>
      <w:tr w14:paraId="3460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7" w:hRule="atLeas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F617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通过对本项目的以上电气系统进行检测，依据检测结果（详见本报告电气检测情况统计表），经综合评定，本项目已检测的电气防火检测评定结果为：良/中/差。</w:t>
            </w:r>
          </w:p>
          <w:p w14:paraId="139101A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注：1. 由于XX原因，XX系统暂未检测；</w:t>
            </w:r>
          </w:p>
          <w:p w14:paraId="0E593105">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center"/>
              <w:rPr>
                <w:rFonts w:hint="eastAsia" w:ascii="黑体" w:hAnsi="黑体" w:eastAsia="黑体" w:cs="黑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检测机构：XXXXXXXX</w:t>
            </w:r>
          </w:p>
        </w:tc>
      </w:tr>
      <w:tr w14:paraId="1B93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500">
            <w:pPr>
              <w:keepNext w:val="0"/>
              <w:keepLines w:val="0"/>
              <w:widowControl/>
              <w:suppressLineNumbers w:val="0"/>
              <w:jc w:val="left"/>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检测人员</w:t>
            </w:r>
          </w:p>
        </w:tc>
        <w:tc>
          <w:tcPr>
            <w:tcW w:w="7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F8D93">
            <w:pPr>
              <w:jc w:val="center"/>
              <w:rPr>
                <w:rFonts w:hint="eastAsia" w:ascii="黑体" w:hAnsi="黑体" w:eastAsia="黑体" w:cs="黑体"/>
                <w:i w:val="0"/>
                <w:iCs w:val="0"/>
                <w:color w:val="auto"/>
                <w:sz w:val="21"/>
                <w:szCs w:val="21"/>
                <w:u w:val="none"/>
              </w:rPr>
            </w:pPr>
          </w:p>
        </w:tc>
      </w:tr>
      <w:tr w14:paraId="2768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AD5">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项目负责人（签字盖章）</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C0FD2">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年 </w:t>
            </w:r>
            <w:r>
              <w:rPr>
                <w:rStyle w:val="532"/>
                <w:rFonts w:hint="eastAsia" w:ascii="黑体" w:hAnsi="黑体" w:eastAsia="黑体" w:cs="黑体"/>
                <w:color w:val="auto"/>
                <w:sz w:val="21"/>
                <w:szCs w:val="21"/>
                <w:lang w:val="en-US" w:eastAsia="zh-CN" w:bidi="ar"/>
              </w:rPr>
              <w:t xml:space="preserve"> 月  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C1C">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技术负责人（签字盖章）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25584">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年  月  日</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B1C">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批 </w:t>
            </w:r>
            <w:r>
              <w:rPr>
                <w:rStyle w:val="532"/>
                <w:rFonts w:hint="eastAsia" w:ascii="黑体" w:hAnsi="黑体" w:eastAsia="黑体" w:cs="黑体"/>
                <w:color w:val="auto"/>
                <w:sz w:val="21"/>
                <w:szCs w:val="21"/>
                <w:lang w:val="en-US" w:eastAsia="zh-CN" w:bidi="ar"/>
              </w:rPr>
              <w:t xml:space="preserve"> 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0C59E">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年 </w:t>
            </w:r>
            <w:r>
              <w:rPr>
                <w:rStyle w:val="532"/>
                <w:rFonts w:hint="eastAsia" w:ascii="黑体" w:hAnsi="黑体" w:eastAsia="黑体" w:cs="黑体"/>
                <w:color w:val="auto"/>
                <w:sz w:val="21"/>
                <w:szCs w:val="21"/>
                <w:lang w:val="en-US" w:eastAsia="zh-CN" w:bidi="ar"/>
              </w:rPr>
              <w:t xml:space="preserve"> 月  日</w:t>
            </w:r>
          </w:p>
        </w:tc>
      </w:tr>
    </w:tbl>
    <w:p w14:paraId="2CA9AD9B">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68C0FCC3">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30903AB7">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14:paraId="6E360C51">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报告编号：****-JZDQFHJC-2024***</w:t>
      </w:r>
    </w:p>
    <w:p w14:paraId="38FBAD8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三、建筑电气防火检测情况统计表</w:t>
      </w:r>
    </w:p>
    <w:tbl>
      <w:tblPr>
        <w:tblStyle w:val="89"/>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45"/>
        <w:gridCol w:w="877"/>
        <w:gridCol w:w="4734"/>
        <w:gridCol w:w="855"/>
        <w:gridCol w:w="938"/>
      </w:tblGrid>
      <w:tr w14:paraId="265D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14:paraId="6E934202">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技术要点项编号</w:t>
            </w:r>
          </w:p>
        </w:tc>
        <w:tc>
          <w:tcPr>
            <w:tcW w:w="1245" w:type="dxa"/>
            <w:vAlign w:val="center"/>
          </w:tcPr>
          <w:p w14:paraId="2F72435A">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w:t>
            </w:r>
          </w:p>
        </w:tc>
        <w:tc>
          <w:tcPr>
            <w:tcW w:w="877" w:type="dxa"/>
            <w:vAlign w:val="center"/>
          </w:tcPr>
          <w:p w14:paraId="701453C5">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危险</w:t>
            </w:r>
          </w:p>
          <w:p w14:paraId="36701B3D">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等级</w:t>
            </w:r>
          </w:p>
        </w:tc>
        <w:tc>
          <w:tcPr>
            <w:tcW w:w="4734" w:type="dxa"/>
            <w:vAlign w:val="center"/>
          </w:tcPr>
          <w:p w14:paraId="6DD37EA3">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检测判定标准</w:t>
            </w:r>
          </w:p>
        </w:tc>
        <w:tc>
          <w:tcPr>
            <w:tcW w:w="855" w:type="dxa"/>
            <w:vAlign w:val="center"/>
          </w:tcPr>
          <w:p w14:paraId="61FE220B">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w:t>
            </w:r>
          </w:p>
          <w:p w14:paraId="24A0E601">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数量</w:t>
            </w:r>
          </w:p>
        </w:tc>
        <w:tc>
          <w:tcPr>
            <w:tcW w:w="938" w:type="dxa"/>
            <w:vAlign w:val="center"/>
          </w:tcPr>
          <w:p w14:paraId="1E1F2BE1">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不符合</w:t>
            </w:r>
          </w:p>
          <w:p w14:paraId="06475956">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数量</w:t>
            </w:r>
          </w:p>
        </w:tc>
      </w:tr>
      <w:tr w14:paraId="172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2B72020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6168D8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6D75404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3BB1773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30FF28E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0BAAA84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0279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705D47E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0524BC4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2A619B2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282F94D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001BE2E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19982DB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6C87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4C3C013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3A144E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547A0EA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5362B445">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0249FD75">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19DF3ED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7CD4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03FB410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76C39A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FD086F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686B8F5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2E8B910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15C7092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3FFE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299429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398EFC8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31D25A9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1CC67D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07D5D16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499182F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44C4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7D50C22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2D23FE6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4E1290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299EF73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3EF50DA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02044A4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784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54DB70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1EA696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351BBA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6EF23C8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1EA537D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28D9ED0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2FAC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B53B88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588772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38EFF90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9FF83A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10FEE4C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59FDC00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5249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538166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5226206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5235E9F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6B39BE8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62A6FF8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09772E0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1581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023A4EA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14CE470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625B92F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7EB0606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17B239A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6972D0B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3610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4F49594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60BFCD0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73A625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49B9F10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729BAC7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0CBAFA3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119D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681FCD1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79EDF99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0B8FE53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7B3EBCE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1D3B2005">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0EF83A1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6B0D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28333B8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59CA521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3ECECD0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7DC85C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14:paraId="098CA2F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14:paraId="2D819E6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bl>
    <w:p w14:paraId="3E5813D6">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1110AE4B">
      <w:pPr>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br w:type="page"/>
      </w:r>
    </w:p>
    <w:p w14:paraId="20A6BD42">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建筑电气防火检测报告</w:t>
      </w:r>
    </w:p>
    <w:p w14:paraId="5D720B63">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14:paraId="10741E7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四、建筑电气防火检测直观检查不符合情况综述</w:t>
      </w:r>
    </w:p>
    <w:tbl>
      <w:tblPr>
        <w:tblStyle w:val="89"/>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45"/>
        <w:gridCol w:w="877"/>
        <w:gridCol w:w="4734"/>
        <w:gridCol w:w="1789"/>
      </w:tblGrid>
      <w:tr w14:paraId="0970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14:paraId="11975608">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技术要点项编号</w:t>
            </w:r>
          </w:p>
        </w:tc>
        <w:tc>
          <w:tcPr>
            <w:tcW w:w="1245" w:type="dxa"/>
            <w:vAlign w:val="center"/>
          </w:tcPr>
          <w:p w14:paraId="1327E9D3">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w:t>
            </w:r>
          </w:p>
        </w:tc>
        <w:tc>
          <w:tcPr>
            <w:tcW w:w="877" w:type="dxa"/>
            <w:vAlign w:val="center"/>
          </w:tcPr>
          <w:p w14:paraId="7E66F677">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危险</w:t>
            </w:r>
          </w:p>
          <w:p w14:paraId="52300478">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等级</w:t>
            </w:r>
          </w:p>
        </w:tc>
        <w:tc>
          <w:tcPr>
            <w:tcW w:w="4734" w:type="dxa"/>
            <w:vAlign w:val="center"/>
          </w:tcPr>
          <w:p w14:paraId="7B7E567E">
            <w:pPr>
              <w:widowControl w:val="0"/>
              <w:tabs>
                <w:tab w:val="right" w:leader="dot" w:pos="9337"/>
              </w:tabs>
              <w:spacing w:before="156" w:line="240"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不符合情况综述</w:t>
            </w:r>
          </w:p>
        </w:tc>
        <w:tc>
          <w:tcPr>
            <w:tcW w:w="1789" w:type="dxa"/>
            <w:vAlign w:val="center"/>
          </w:tcPr>
          <w:p w14:paraId="4805C778">
            <w:pPr>
              <w:widowControl w:val="0"/>
              <w:tabs>
                <w:tab w:val="right" w:leader="dot" w:pos="9337"/>
              </w:tabs>
              <w:spacing w:before="156" w:line="240"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检测点位置</w:t>
            </w:r>
          </w:p>
        </w:tc>
      </w:tr>
      <w:tr w14:paraId="1492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6486BB0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004E40C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00F8232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3BEBCD4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5C639A9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3FA5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587AE22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7859BF7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BFDD5C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3B8D105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76BEA97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24F9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7C49789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03ECB59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472C23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559A7C5">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4D692B3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65D1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0DC6BD9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1DA95A6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0C71043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ACE81F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52CDBB2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4963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2CC4DEB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6B05888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0C13F9F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0EEDD83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4EABB69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5582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5D7570C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1008A5F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BCBBFE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6D48326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7746DA0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0052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5548380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6D3935A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3D698113">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30779E4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24522B5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3F80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7D44D16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736DCFE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E4185E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2780E3D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4F5ABD3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7852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9964FA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3FBB99B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42EC346E">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B0B349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29B4A255">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3BE0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6FE17B36">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165D72A0">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5379A058">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332D416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3901B62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67F6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69F364E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6AB7FA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7E18CABB">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6FF6807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77EBCDD4">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0CF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1D87CCA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4B55685D">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1C4CBFC2">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1F3BBAC1">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1E21FD8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14:paraId="65BA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14:paraId="0EE35FBF">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14:paraId="2A6CF917">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14:paraId="61D5DB2C">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14:paraId="2326B06A">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14:paraId="1B202039">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bl>
    <w:p w14:paraId="45B8A46C">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3C302E8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34B17714">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14:paraId="4CBA1F2C">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14:paraId="3E48B62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五、仪器检测情况记录</w:t>
      </w:r>
    </w:p>
    <w:p w14:paraId="1BECB895">
      <w:pPr>
        <w:keepNext w:val="0"/>
        <w:keepLines w:val="0"/>
        <w:widowControl/>
        <w:suppressLineNumbers w:val="0"/>
        <w:jc w:val="left"/>
        <w:rPr>
          <w:rFonts w:hint="eastAsia" w:ascii="黑体" w:hAnsi="黑体" w:eastAsia="黑体" w:cs="黑体"/>
          <w:b w:val="0"/>
          <w:bCs w:val="0"/>
          <w:color w:val="auto"/>
          <w:sz w:val="21"/>
          <w:szCs w:val="21"/>
          <w:lang w:val="en-US" w:eastAsia="zh-CN"/>
        </w:rPr>
      </w:pPr>
    </w:p>
    <w:p w14:paraId="3AF4F63F">
      <w:pPr>
        <w:keepNext w:val="0"/>
        <w:keepLines w:val="0"/>
        <w:widowControl/>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color w:val="auto"/>
          <w:sz w:val="21"/>
          <w:szCs w:val="21"/>
          <w:lang w:val="en-US" w:eastAsia="zh-CN"/>
        </w:rPr>
        <w:t>1、</w:t>
      </w:r>
      <w:r>
        <w:rPr>
          <w:rFonts w:hint="eastAsia" w:ascii="黑体" w:hAnsi="黑体" w:eastAsia="黑体" w:cs="黑体"/>
          <w:b w:val="0"/>
          <w:bCs w:val="0"/>
          <w:snapToGrid w:val="0"/>
          <w:color w:val="auto"/>
          <w:kern w:val="0"/>
          <w:sz w:val="21"/>
          <w:szCs w:val="21"/>
          <w:lang w:val="en-US" w:eastAsia="zh-CN" w:bidi="ar"/>
        </w:rPr>
        <w:t>检测部位温升值判定</w:t>
      </w:r>
    </w:p>
    <w:tbl>
      <w:tblPr>
        <w:tblStyle w:val="89"/>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787"/>
        <w:gridCol w:w="1580"/>
        <w:gridCol w:w="1060"/>
        <w:gridCol w:w="1060"/>
        <w:gridCol w:w="1070"/>
        <w:gridCol w:w="1380"/>
        <w:gridCol w:w="960"/>
      </w:tblGrid>
      <w:tr w14:paraId="4E9A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67" w:type="dxa"/>
            <w:vAlign w:val="center"/>
          </w:tcPr>
          <w:p w14:paraId="56E70D5C">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787" w:type="dxa"/>
            <w:vAlign w:val="center"/>
          </w:tcPr>
          <w:p w14:paraId="61EBE05B">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检测部位</w:t>
            </w:r>
          </w:p>
        </w:tc>
        <w:tc>
          <w:tcPr>
            <w:tcW w:w="1580" w:type="dxa"/>
            <w:vAlign w:val="center"/>
          </w:tcPr>
          <w:p w14:paraId="7F108588">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设备编号</w:t>
            </w:r>
          </w:p>
        </w:tc>
        <w:tc>
          <w:tcPr>
            <w:tcW w:w="1060" w:type="dxa"/>
            <w:vAlign w:val="center"/>
          </w:tcPr>
          <w:p w14:paraId="12D19CB9">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环境温度</w:t>
            </w:r>
          </w:p>
          <w:p w14:paraId="31EAF501">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w:t>
            </w:r>
          </w:p>
        </w:tc>
        <w:tc>
          <w:tcPr>
            <w:tcW w:w="1060" w:type="dxa"/>
            <w:vAlign w:val="center"/>
          </w:tcPr>
          <w:p w14:paraId="0D0E5F9B">
            <w:pPr>
              <w:keepNext w:val="0"/>
              <w:keepLines w:val="0"/>
              <w:widowControl/>
              <w:suppressLineNumbers w:val="0"/>
              <w:jc w:val="center"/>
              <w:rPr>
                <w:b w:val="0"/>
                <w:bCs w:val="0"/>
                <w:color w:val="auto"/>
                <w:sz w:val="21"/>
                <w:szCs w:val="21"/>
              </w:rPr>
            </w:pPr>
            <w:r>
              <w:rPr>
                <w:rFonts w:hint="eastAsia" w:ascii="宋体" w:hAnsi="宋体" w:eastAsia="宋体" w:cs="宋体"/>
                <w:b w:val="0"/>
                <w:bCs w:val="0"/>
                <w:snapToGrid w:val="0"/>
                <w:color w:val="auto"/>
                <w:kern w:val="0"/>
                <w:sz w:val="21"/>
                <w:szCs w:val="21"/>
                <w:lang w:val="en-US" w:eastAsia="zh-CN" w:bidi="ar"/>
              </w:rPr>
              <w:t>相对湿度</w:t>
            </w:r>
          </w:p>
          <w:p w14:paraId="2A7E32F0">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 RH</w:t>
            </w:r>
          </w:p>
        </w:tc>
        <w:tc>
          <w:tcPr>
            <w:tcW w:w="1070" w:type="dxa"/>
            <w:vAlign w:val="center"/>
          </w:tcPr>
          <w:p w14:paraId="5D6F561F">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热图编号</w:t>
            </w:r>
          </w:p>
        </w:tc>
        <w:tc>
          <w:tcPr>
            <w:tcW w:w="1380" w:type="dxa"/>
            <w:vAlign w:val="center"/>
          </w:tcPr>
          <w:p w14:paraId="6E0CC46B">
            <w:pPr>
              <w:keepNext w:val="0"/>
              <w:keepLines w:val="0"/>
              <w:widowControl/>
              <w:suppressLineNumbers w:val="0"/>
              <w:jc w:val="center"/>
              <w:rPr>
                <w:b w:val="0"/>
                <w:bCs w:val="0"/>
                <w:color w:val="auto"/>
                <w:sz w:val="21"/>
                <w:szCs w:val="21"/>
              </w:rPr>
            </w:pPr>
            <w:r>
              <w:rPr>
                <w:rFonts w:hint="eastAsia" w:ascii="宋体" w:hAnsi="宋体" w:eastAsia="宋体" w:cs="宋体"/>
                <w:b w:val="0"/>
                <w:bCs w:val="0"/>
                <w:snapToGrid w:val="0"/>
                <w:color w:val="auto"/>
                <w:kern w:val="0"/>
                <w:sz w:val="21"/>
                <w:szCs w:val="21"/>
                <w:lang w:val="en-US" w:eastAsia="zh-CN" w:bidi="ar"/>
              </w:rPr>
              <w:t>设备温度</w:t>
            </w:r>
          </w:p>
          <w:p w14:paraId="419691E2">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最大值（℃）</w:t>
            </w:r>
          </w:p>
        </w:tc>
        <w:tc>
          <w:tcPr>
            <w:tcW w:w="960" w:type="dxa"/>
            <w:vAlign w:val="center"/>
          </w:tcPr>
          <w:p w14:paraId="41720DA4">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温升值</w:t>
            </w:r>
          </w:p>
          <w:p w14:paraId="18D9D000">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判  定</w:t>
            </w:r>
          </w:p>
        </w:tc>
      </w:tr>
      <w:tr w14:paraId="21C1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2D71DFAE">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87" w:type="dxa"/>
          </w:tcPr>
          <w:p w14:paraId="2F2E449B">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80" w:type="dxa"/>
          </w:tcPr>
          <w:p w14:paraId="321406F1">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14:paraId="26C01FC0">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14:paraId="19599219">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70" w:type="dxa"/>
          </w:tcPr>
          <w:p w14:paraId="0DF9E804">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80" w:type="dxa"/>
          </w:tcPr>
          <w:p w14:paraId="59E40260">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960" w:type="dxa"/>
          </w:tcPr>
          <w:p w14:paraId="1D7FF71D">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bl>
    <w:p w14:paraId="775BFA89">
      <w:pPr>
        <w:keepNext w:val="0"/>
        <w:keepLines w:val="0"/>
        <w:widowControl/>
        <w:suppressLineNumbers w:val="0"/>
        <w:jc w:val="left"/>
        <w:rPr>
          <w:rFonts w:hint="eastAsia" w:ascii="黑体" w:hAnsi="黑体" w:eastAsia="黑体" w:cs="黑体"/>
          <w:color w:val="auto"/>
          <w:sz w:val="21"/>
          <w:szCs w:val="21"/>
        </w:rPr>
      </w:pPr>
      <w:r>
        <w:rPr>
          <w:rFonts w:hint="eastAsia" w:ascii="黑体" w:hAnsi="黑体" w:eastAsia="黑体" w:cs="黑体"/>
          <w:b w:val="0"/>
          <w:bCs w:val="0"/>
          <w:color w:val="auto"/>
          <w:sz w:val="21"/>
          <w:szCs w:val="21"/>
          <w:lang w:val="en-US" w:eastAsia="zh-CN"/>
        </w:rPr>
        <w:t>2、</w:t>
      </w:r>
      <w:r>
        <w:rPr>
          <w:rFonts w:hint="eastAsia" w:ascii="黑体" w:hAnsi="黑体" w:eastAsia="黑体" w:cs="黑体"/>
          <w:b w:val="0"/>
          <w:bCs w:val="0"/>
          <w:snapToGrid w:val="0"/>
          <w:color w:val="auto"/>
          <w:kern w:val="0"/>
          <w:sz w:val="21"/>
          <w:szCs w:val="21"/>
          <w:lang w:val="en-US" w:eastAsia="zh-CN" w:bidi="ar"/>
        </w:rPr>
        <w:t>电压偏差限制、线路安全载流量</w:t>
      </w:r>
    </w:p>
    <w:tbl>
      <w:tblPr>
        <w:tblStyle w:val="89"/>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0"/>
        <w:gridCol w:w="750"/>
        <w:gridCol w:w="788"/>
        <w:gridCol w:w="788"/>
        <w:gridCol w:w="788"/>
        <w:gridCol w:w="788"/>
        <w:gridCol w:w="788"/>
        <w:gridCol w:w="788"/>
        <w:gridCol w:w="792"/>
        <w:gridCol w:w="1570"/>
      </w:tblGrid>
      <w:tr w14:paraId="4171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4" w:type="dxa"/>
            <w:vMerge w:val="restart"/>
            <w:vAlign w:val="center"/>
          </w:tcPr>
          <w:p w14:paraId="50D8FC23">
            <w:pPr>
              <w:keepNext w:val="0"/>
              <w:keepLines w:val="0"/>
              <w:widowControl/>
              <w:suppressLineNumbers w:val="0"/>
              <w:jc w:val="both"/>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序号</w:t>
            </w:r>
          </w:p>
        </w:tc>
        <w:tc>
          <w:tcPr>
            <w:tcW w:w="1060" w:type="dxa"/>
            <w:vMerge w:val="restart"/>
            <w:vAlign w:val="center"/>
          </w:tcPr>
          <w:p w14:paraId="1CA7FCD8">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检测部位</w:t>
            </w:r>
          </w:p>
        </w:tc>
        <w:tc>
          <w:tcPr>
            <w:tcW w:w="750" w:type="dxa"/>
            <w:vMerge w:val="restart"/>
            <w:vAlign w:val="center"/>
          </w:tcPr>
          <w:p w14:paraId="5C72DA98">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设备</w:t>
            </w:r>
          </w:p>
          <w:p w14:paraId="7D7E8B04">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编号</w:t>
            </w:r>
          </w:p>
        </w:tc>
        <w:tc>
          <w:tcPr>
            <w:tcW w:w="2364" w:type="dxa"/>
            <w:gridSpan w:val="3"/>
            <w:vAlign w:val="center"/>
          </w:tcPr>
          <w:p w14:paraId="4F9DCE13">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电  压（V）</w:t>
            </w:r>
          </w:p>
        </w:tc>
        <w:tc>
          <w:tcPr>
            <w:tcW w:w="3156" w:type="dxa"/>
            <w:gridSpan w:val="4"/>
            <w:vAlign w:val="center"/>
          </w:tcPr>
          <w:p w14:paraId="5E6821A9">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电  流（A）</w:t>
            </w:r>
          </w:p>
        </w:tc>
        <w:tc>
          <w:tcPr>
            <w:tcW w:w="1570" w:type="dxa"/>
            <w:vMerge w:val="restart"/>
            <w:vAlign w:val="center"/>
          </w:tcPr>
          <w:p w14:paraId="2897461B">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备注</w:t>
            </w:r>
          </w:p>
        </w:tc>
      </w:tr>
      <w:tr w14:paraId="246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4" w:type="dxa"/>
            <w:vMerge w:val="continue"/>
          </w:tcPr>
          <w:p w14:paraId="4D56EF11">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060" w:type="dxa"/>
            <w:vMerge w:val="continue"/>
          </w:tcPr>
          <w:p w14:paraId="7EB844AB">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50" w:type="dxa"/>
            <w:vMerge w:val="continue"/>
          </w:tcPr>
          <w:p w14:paraId="3261B6FD">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vAlign w:val="center"/>
          </w:tcPr>
          <w:p w14:paraId="6ECE43AC">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AB</w:t>
            </w:r>
          </w:p>
        </w:tc>
        <w:tc>
          <w:tcPr>
            <w:tcW w:w="788" w:type="dxa"/>
            <w:vAlign w:val="center"/>
          </w:tcPr>
          <w:p w14:paraId="0CA0B950">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BC</w:t>
            </w:r>
          </w:p>
        </w:tc>
        <w:tc>
          <w:tcPr>
            <w:tcW w:w="788" w:type="dxa"/>
            <w:vAlign w:val="center"/>
          </w:tcPr>
          <w:p w14:paraId="1244B824">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AC</w:t>
            </w:r>
          </w:p>
        </w:tc>
        <w:tc>
          <w:tcPr>
            <w:tcW w:w="788" w:type="dxa"/>
            <w:vAlign w:val="center"/>
          </w:tcPr>
          <w:p w14:paraId="6FAF2422">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A</w:t>
            </w:r>
          </w:p>
        </w:tc>
        <w:tc>
          <w:tcPr>
            <w:tcW w:w="788" w:type="dxa"/>
            <w:vAlign w:val="center"/>
          </w:tcPr>
          <w:p w14:paraId="40BFFB3B">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B</w:t>
            </w:r>
          </w:p>
        </w:tc>
        <w:tc>
          <w:tcPr>
            <w:tcW w:w="788" w:type="dxa"/>
            <w:vAlign w:val="center"/>
          </w:tcPr>
          <w:p w14:paraId="2F134917">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C</w:t>
            </w:r>
          </w:p>
        </w:tc>
        <w:tc>
          <w:tcPr>
            <w:tcW w:w="792" w:type="dxa"/>
            <w:vAlign w:val="center"/>
          </w:tcPr>
          <w:p w14:paraId="5C1A32F2">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N</w:t>
            </w:r>
          </w:p>
        </w:tc>
        <w:tc>
          <w:tcPr>
            <w:tcW w:w="1570" w:type="dxa"/>
            <w:vMerge w:val="continue"/>
            <w:vAlign w:val="center"/>
          </w:tcPr>
          <w:p w14:paraId="3BA2740C">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p>
        </w:tc>
      </w:tr>
      <w:tr w14:paraId="400A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44" w:type="dxa"/>
          </w:tcPr>
          <w:p w14:paraId="5AD9BFE0">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060" w:type="dxa"/>
          </w:tcPr>
          <w:p w14:paraId="4AE43D87">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50" w:type="dxa"/>
          </w:tcPr>
          <w:p w14:paraId="4F02B3C0">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2E025A8E">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7D713619">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61F942C8">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79FE0C49">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39D531CC">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14:paraId="79DFA36C">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92" w:type="dxa"/>
          </w:tcPr>
          <w:p w14:paraId="7E01C20A">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570" w:type="dxa"/>
          </w:tcPr>
          <w:p w14:paraId="01C86727">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bl>
    <w:p w14:paraId="32BDFEF5">
      <w:pPr>
        <w:keepNext w:val="0"/>
        <w:keepLines w:val="0"/>
        <w:widowControl/>
        <w:suppressLineNumbers w:val="0"/>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3、接地电阻值及漏电流值测定</w:t>
      </w:r>
    </w:p>
    <w:tbl>
      <w:tblPr>
        <w:tblStyle w:val="89"/>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00"/>
        <w:gridCol w:w="1590"/>
        <w:gridCol w:w="1963"/>
        <w:gridCol w:w="1963"/>
        <w:gridCol w:w="1594"/>
      </w:tblGrid>
      <w:tr w14:paraId="71D8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5EA73C6">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800" w:type="dxa"/>
            <w:vAlign w:val="center"/>
          </w:tcPr>
          <w:p w14:paraId="31125FC5">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检测部位</w:t>
            </w:r>
          </w:p>
        </w:tc>
        <w:tc>
          <w:tcPr>
            <w:tcW w:w="1590" w:type="dxa"/>
            <w:vAlign w:val="center"/>
          </w:tcPr>
          <w:p w14:paraId="4860CFFD">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设备编号</w:t>
            </w:r>
          </w:p>
        </w:tc>
        <w:tc>
          <w:tcPr>
            <w:tcW w:w="1963" w:type="dxa"/>
            <w:vAlign w:val="center"/>
          </w:tcPr>
          <w:p w14:paraId="022998C4">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漏电流（mA）</w:t>
            </w:r>
          </w:p>
        </w:tc>
        <w:tc>
          <w:tcPr>
            <w:tcW w:w="1963" w:type="dxa"/>
            <w:vAlign w:val="center"/>
          </w:tcPr>
          <w:p w14:paraId="2EAC92FF">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接地电阻（Ω）</w:t>
            </w:r>
          </w:p>
        </w:tc>
        <w:tc>
          <w:tcPr>
            <w:tcW w:w="1594" w:type="dxa"/>
            <w:vAlign w:val="center"/>
          </w:tcPr>
          <w:p w14:paraId="59B61C71">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   注</w:t>
            </w:r>
          </w:p>
        </w:tc>
      </w:tr>
      <w:tr w14:paraId="4CD8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54" w:type="dxa"/>
          </w:tcPr>
          <w:p w14:paraId="3860FD22">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800" w:type="dxa"/>
          </w:tcPr>
          <w:p w14:paraId="31F7F931">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590" w:type="dxa"/>
          </w:tcPr>
          <w:p w14:paraId="5BF96643">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963" w:type="dxa"/>
          </w:tcPr>
          <w:p w14:paraId="6C27467C">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963" w:type="dxa"/>
          </w:tcPr>
          <w:p w14:paraId="7FCD94C7">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594" w:type="dxa"/>
          </w:tcPr>
          <w:p w14:paraId="2D90AE68">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r>
    </w:tbl>
    <w:p w14:paraId="7BD00591">
      <w:pPr>
        <w:keepNext w:val="0"/>
        <w:keepLines w:val="0"/>
        <w:widowControl/>
        <w:suppressLineNumbers w:val="0"/>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4、电能质量测试</w:t>
      </w:r>
    </w:p>
    <w:tbl>
      <w:tblPr>
        <w:tblStyle w:val="89"/>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90"/>
        <w:gridCol w:w="1575"/>
        <w:gridCol w:w="1315"/>
        <w:gridCol w:w="1315"/>
        <w:gridCol w:w="1315"/>
        <w:gridCol w:w="1605"/>
      </w:tblGrid>
      <w:tr w14:paraId="08E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77EE1866">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3365" w:type="dxa"/>
            <w:gridSpan w:val="2"/>
            <w:vMerge w:val="restart"/>
            <w:vAlign w:val="center"/>
          </w:tcPr>
          <w:p w14:paraId="62EED44E">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检测项目</w:t>
            </w:r>
          </w:p>
        </w:tc>
        <w:tc>
          <w:tcPr>
            <w:tcW w:w="3945" w:type="dxa"/>
            <w:gridSpan w:val="3"/>
            <w:vAlign w:val="center"/>
          </w:tcPr>
          <w:p w14:paraId="4E4B4F11">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测试值</w:t>
            </w:r>
          </w:p>
        </w:tc>
        <w:tc>
          <w:tcPr>
            <w:tcW w:w="1605" w:type="dxa"/>
            <w:vMerge w:val="restart"/>
            <w:vAlign w:val="center"/>
          </w:tcPr>
          <w:p w14:paraId="594218B1">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备注</w:t>
            </w:r>
          </w:p>
        </w:tc>
      </w:tr>
      <w:tr w14:paraId="2ADB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14:paraId="5489A8C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3365" w:type="dxa"/>
            <w:gridSpan w:val="2"/>
            <w:vMerge w:val="continue"/>
          </w:tcPr>
          <w:p w14:paraId="546FA5E9">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vAlign w:val="center"/>
          </w:tcPr>
          <w:p w14:paraId="55150654">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A 相</w:t>
            </w:r>
          </w:p>
        </w:tc>
        <w:tc>
          <w:tcPr>
            <w:tcW w:w="1315" w:type="dxa"/>
            <w:vAlign w:val="center"/>
          </w:tcPr>
          <w:p w14:paraId="59E35EEB">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B相</w:t>
            </w:r>
          </w:p>
        </w:tc>
        <w:tc>
          <w:tcPr>
            <w:tcW w:w="1315" w:type="dxa"/>
            <w:vAlign w:val="center"/>
          </w:tcPr>
          <w:p w14:paraId="7C7388F9">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C 相</w:t>
            </w:r>
          </w:p>
        </w:tc>
        <w:tc>
          <w:tcPr>
            <w:tcW w:w="1605" w:type="dxa"/>
            <w:vMerge w:val="continue"/>
            <w:vAlign w:val="center"/>
          </w:tcPr>
          <w:p w14:paraId="264E3EE4">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r>
      <w:tr w14:paraId="311B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55C67B6">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w:t>
            </w:r>
          </w:p>
        </w:tc>
        <w:tc>
          <w:tcPr>
            <w:tcW w:w="3365" w:type="dxa"/>
            <w:gridSpan w:val="2"/>
            <w:vAlign w:val="center"/>
          </w:tcPr>
          <w:p w14:paraId="56F27F88">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电压值（V）</w:t>
            </w:r>
          </w:p>
        </w:tc>
        <w:tc>
          <w:tcPr>
            <w:tcW w:w="1315" w:type="dxa"/>
          </w:tcPr>
          <w:p w14:paraId="40178B82">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592E2086">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20C09B13">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0151EDF9">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04C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5CC2229">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2</w:t>
            </w:r>
          </w:p>
        </w:tc>
        <w:tc>
          <w:tcPr>
            <w:tcW w:w="3365" w:type="dxa"/>
            <w:gridSpan w:val="2"/>
            <w:vAlign w:val="center"/>
          </w:tcPr>
          <w:p w14:paraId="623180E9">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电压不平衡度（%）</w:t>
            </w:r>
          </w:p>
        </w:tc>
        <w:tc>
          <w:tcPr>
            <w:tcW w:w="1315" w:type="dxa"/>
          </w:tcPr>
          <w:p w14:paraId="119BB31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76961A7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6606413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2FAA09F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3CC9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363304E">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w:t>
            </w:r>
          </w:p>
        </w:tc>
        <w:tc>
          <w:tcPr>
            <w:tcW w:w="3365" w:type="dxa"/>
            <w:gridSpan w:val="2"/>
            <w:vAlign w:val="center"/>
          </w:tcPr>
          <w:p w14:paraId="3932EE21">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电流值（A）</w:t>
            </w:r>
          </w:p>
        </w:tc>
        <w:tc>
          <w:tcPr>
            <w:tcW w:w="1315" w:type="dxa"/>
          </w:tcPr>
          <w:p w14:paraId="40C4955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C49E05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080B7D7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6817BF6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2D14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86C08C2">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4</w:t>
            </w:r>
          </w:p>
        </w:tc>
        <w:tc>
          <w:tcPr>
            <w:tcW w:w="3365" w:type="dxa"/>
            <w:gridSpan w:val="2"/>
            <w:vAlign w:val="center"/>
          </w:tcPr>
          <w:p w14:paraId="38C66ECC">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电流不平衡度（%）</w:t>
            </w:r>
          </w:p>
        </w:tc>
        <w:tc>
          <w:tcPr>
            <w:tcW w:w="1315" w:type="dxa"/>
          </w:tcPr>
          <w:p w14:paraId="52DB819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2ADF5007">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BAADC8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4487FF4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0B00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38DEFB5">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5</w:t>
            </w:r>
          </w:p>
        </w:tc>
        <w:tc>
          <w:tcPr>
            <w:tcW w:w="3365" w:type="dxa"/>
            <w:gridSpan w:val="2"/>
            <w:vAlign w:val="center"/>
          </w:tcPr>
          <w:p w14:paraId="03434DE1">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功率因数</w:t>
            </w:r>
          </w:p>
        </w:tc>
        <w:tc>
          <w:tcPr>
            <w:tcW w:w="1315" w:type="dxa"/>
          </w:tcPr>
          <w:p w14:paraId="362AD25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57462AF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D1D17B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1830983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43B3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88770B7">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6</w:t>
            </w:r>
          </w:p>
        </w:tc>
        <w:tc>
          <w:tcPr>
            <w:tcW w:w="3365" w:type="dxa"/>
            <w:gridSpan w:val="2"/>
            <w:vAlign w:val="center"/>
          </w:tcPr>
          <w:p w14:paraId="49C0E48B">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频率（Hz）</w:t>
            </w:r>
          </w:p>
        </w:tc>
        <w:tc>
          <w:tcPr>
            <w:tcW w:w="1315" w:type="dxa"/>
          </w:tcPr>
          <w:p w14:paraId="0B0E8D1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4454229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00CD8B6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39F46B7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18EA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E3041E8">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7</w:t>
            </w:r>
          </w:p>
        </w:tc>
        <w:tc>
          <w:tcPr>
            <w:tcW w:w="3365" w:type="dxa"/>
            <w:gridSpan w:val="2"/>
            <w:vAlign w:val="center"/>
          </w:tcPr>
          <w:p w14:paraId="61AD2445">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频率偏差（Hz）</w:t>
            </w:r>
          </w:p>
        </w:tc>
        <w:tc>
          <w:tcPr>
            <w:tcW w:w="1315" w:type="dxa"/>
          </w:tcPr>
          <w:p w14:paraId="184290F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0E528AD">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6CFC0A1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666E882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7DD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705366B">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8</w:t>
            </w:r>
          </w:p>
        </w:tc>
        <w:tc>
          <w:tcPr>
            <w:tcW w:w="3365" w:type="dxa"/>
            <w:gridSpan w:val="2"/>
            <w:vAlign w:val="center"/>
          </w:tcPr>
          <w:p w14:paraId="44BF0552">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电压谐波畸变总量（%）</w:t>
            </w:r>
          </w:p>
        </w:tc>
        <w:tc>
          <w:tcPr>
            <w:tcW w:w="1315" w:type="dxa"/>
          </w:tcPr>
          <w:p w14:paraId="3B7D453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4979E47D">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26DB11C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3FE098A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7393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26B67F65">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9</w:t>
            </w:r>
          </w:p>
        </w:tc>
        <w:tc>
          <w:tcPr>
            <w:tcW w:w="1790" w:type="dxa"/>
            <w:vMerge w:val="restart"/>
            <w:vAlign w:val="center"/>
          </w:tcPr>
          <w:p w14:paraId="5D11BA33">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主要谐波电压值</w:t>
            </w:r>
          </w:p>
        </w:tc>
        <w:tc>
          <w:tcPr>
            <w:tcW w:w="1575" w:type="dxa"/>
            <w:vAlign w:val="center"/>
          </w:tcPr>
          <w:p w14:paraId="0CF586B4">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3次（V）</w:t>
            </w:r>
          </w:p>
        </w:tc>
        <w:tc>
          <w:tcPr>
            <w:tcW w:w="1315" w:type="dxa"/>
          </w:tcPr>
          <w:p w14:paraId="5E806B9D">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C8FDC5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F413D8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6F8B473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5D6A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14:paraId="68167DCD">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14:paraId="658BAF3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14:paraId="3891A882">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5次（V）</w:t>
            </w:r>
          </w:p>
        </w:tc>
        <w:tc>
          <w:tcPr>
            <w:tcW w:w="1315" w:type="dxa"/>
          </w:tcPr>
          <w:p w14:paraId="0B2D937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1ED37C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1190DA9">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3274928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3FB7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14:paraId="1D4156B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14:paraId="7E440B0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14:paraId="17566692">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7次（V）</w:t>
            </w:r>
          </w:p>
        </w:tc>
        <w:tc>
          <w:tcPr>
            <w:tcW w:w="1315" w:type="dxa"/>
          </w:tcPr>
          <w:p w14:paraId="2CFEFB0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09AF3E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D85ED43">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1C5D9C7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7CE2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14:paraId="04D8949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14:paraId="46845D7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14:paraId="32564BCF">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9次（V）</w:t>
            </w:r>
          </w:p>
        </w:tc>
        <w:tc>
          <w:tcPr>
            <w:tcW w:w="1315" w:type="dxa"/>
          </w:tcPr>
          <w:p w14:paraId="718590B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42AB4A8D">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A83670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476A3123">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726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14:paraId="15D292C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14:paraId="181A58C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14:paraId="37985EF2">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11次（V）</w:t>
            </w:r>
          </w:p>
        </w:tc>
        <w:tc>
          <w:tcPr>
            <w:tcW w:w="1315" w:type="dxa"/>
          </w:tcPr>
          <w:p w14:paraId="75FC8C27">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7FF76D0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9ACDD5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5469DBB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6F2C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A383D38">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10</w:t>
            </w:r>
          </w:p>
        </w:tc>
        <w:tc>
          <w:tcPr>
            <w:tcW w:w="3365" w:type="dxa"/>
            <w:gridSpan w:val="2"/>
            <w:vAlign w:val="center"/>
          </w:tcPr>
          <w:p w14:paraId="79494FC2">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电流谐波畸变总量（%）</w:t>
            </w:r>
          </w:p>
        </w:tc>
        <w:tc>
          <w:tcPr>
            <w:tcW w:w="1315" w:type="dxa"/>
          </w:tcPr>
          <w:p w14:paraId="7A5441D2">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9563B4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71B0AF4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3449E90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098E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7C173098">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11</w:t>
            </w:r>
          </w:p>
        </w:tc>
        <w:tc>
          <w:tcPr>
            <w:tcW w:w="1790" w:type="dxa"/>
            <w:vMerge w:val="restart"/>
            <w:vAlign w:val="center"/>
          </w:tcPr>
          <w:p w14:paraId="67D5A342">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主要谐波电流值</w:t>
            </w:r>
          </w:p>
        </w:tc>
        <w:tc>
          <w:tcPr>
            <w:tcW w:w="1575" w:type="dxa"/>
            <w:vAlign w:val="center"/>
          </w:tcPr>
          <w:p w14:paraId="4A91E6E8">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3次（V）</w:t>
            </w:r>
          </w:p>
        </w:tc>
        <w:tc>
          <w:tcPr>
            <w:tcW w:w="1315" w:type="dxa"/>
          </w:tcPr>
          <w:p w14:paraId="3D60C1E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0847F2D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20DF633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78DA78A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25E7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DE8114A">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14:paraId="1DF721C6">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14:paraId="5DE78A9A">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5次（V）</w:t>
            </w:r>
          </w:p>
        </w:tc>
        <w:tc>
          <w:tcPr>
            <w:tcW w:w="1315" w:type="dxa"/>
          </w:tcPr>
          <w:p w14:paraId="3D0BEAF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7BB1D4C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42EC73A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5C8C6CA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1220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C7C1510">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14:paraId="6DDED6C5">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14:paraId="3E709FE3">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7次（V）</w:t>
            </w:r>
          </w:p>
        </w:tc>
        <w:tc>
          <w:tcPr>
            <w:tcW w:w="1315" w:type="dxa"/>
          </w:tcPr>
          <w:p w14:paraId="7C887C7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7250577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5F48724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46ED4EA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76D6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7FB7C43A">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14:paraId="29C102E9">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14:paraId="6FB89478">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9次（V）</w:t>
            </w:r>
          </w:p>
        </w:tc>
        <w:tc>
          <w:tcPr>
            <w:tcW w:w="1315" w:type="dxa"/>
          </w:tcPr>
          <w:p w14:paraId="248020A2">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3A2C42D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5FF73DE2">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0BEB5DB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14:paraId="3C6A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36512157">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14:paraId="150D335B">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14:paraId="1597F254">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11次（V）</w:t>
            </w:r>
          </w:p>
        </w:tc>
        <w:tc>
          <w:tcPr>
            <w:tcW w:w="1315" w:type="dxa"/>
          </w:tcPr>
          <w:p w14:paraId="1B0B76D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123366F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14:paraId="5905E58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14:paraId="077F7F4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bl>
    <w:p w14:paraId="78CBB4C7">
      <w:pPr>
        <w:keepNext w:val="0"/>
        <w:keepLines w:val="0"/>
        <w:widowControl/>
        <w:numPr>
          <w:ilvl w:val="0"/>
          <w:numId w:val="0"/>
        </w:numPr>
        <w:suppressLineNumbers w:val="0"/>
        <w:jc w:val="right"/>
        <w:rPr>
          <w:rFonts w:hint="eastAsia" w:ascii="宋体" w:hAnsi="宋体" w:eastAsia="宋体" w:cs="宋体"/>
          <w:color w:val="auto"/>
          <w:sz w:val="21"/>
          <w:szCs w:val="21"/>
          <w:lang w:val="en-US" w:eastAsia="zh-CN"/>
        </w:rPr>
      </w:pPr>
    </w:p>
    <w:p w14:paraId="5A07A786">
      <w:pPr>
        <w:keepNext w:val="0"/>
        <w:keepLines w:val="0"/>
        <w:widowControl/>
        <w:numPr>
          <w:ilvl w:val="0"/>
          <w:numId w:val="0"/>
        </w:numPr>
        <w:suppressLineNumbers w:val="0"/>
        <w:jc w:val="right"/>
        <w:rPr>
          <w:rFonts w:hint="eastAsia" w:ascii="宋体" w:hAnsi="宋体" w:eastAsia="宋体" w:cs="宋体"/>
          <w:color w:val="auto"/>
          <w:sz w:val="21"/>
          <w:szCs w:val="21"/>
          <w:lang w:val="en-US" w:eastAsia="zh-CN"/>
        </w:rPr>
      </w:pPr>
    </w:p>
    <w:p w14:paraId="3E1C4208">
      <w:pPr>
        <w:keepNext w:val="0"/>
        <w:keepLines w:val="0"/>
        <w:widowControl/>
        <w:numPr>
          <w:ilvl w:val="0"/>
          <w:numId w:val="0"/>
        </w:numPr>
        <w:suppressLineNumbers w:val="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223DB589">
      <w:pPr>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br w:type="page"/>
      </w:r>
    </w:p>
    <w:p w14:paraId="43EC7037">
      <w:pPr>
        <w:keepNext w:val="0"/>
        <w:keepLines w:val="0"/>
        <w:widowControl/>
        <w:numPr>
          <w:ilvl w:val="0"/>
          <w:numId w:val="0"/>
        </w:numPr>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5、热成像图片</w:t>
      </w:r>
    </w:p>
    <w:tbl>
      <w:tblPr>
        <w:tblStyle w:val="89"/>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25"/>
        <w:gridCol w:w="2219"/>
        <w:gridCol w:w="3960"/>
        <w:gridCol w:w="1605"/>
      </w:tblGrid>
      <w:tr w14:paraId="57A1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3251875C">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125" w:type="dxa"/>
            <w:vAlign w:val="center"/>
          </w:tcPr>
          <w:p w14:paraId="384F638F">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采集部位</w:t>
            </w:r>
          </w:p>
        </w:tc>
        <w:tc>
          <w:tcPr>
            <w:tcW w:w="2219" w:type="dxa"/>
            <w:vAlign w:val="center"/>
          </w:tcPr>
          <w:p w14:paraId="2A3F3F95">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热图编号</w:t>
            </w:r>
          </w:p>
        </w:tc>
        <w:tc>
          <w:tcPr>
            <w:tcW w:w="3960" w:type="dxa"/>
            <w:vAlign w:val="center"/>
          </w:tcPr>
          <w:p w14:paraId="57EB9120">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热成像仪图像及全可见光图像</w:t>
            </w:r>
          </w:p>
        </w:tc>
        <w:tc>
          <w:tcPr>
            <w:tcW w:w="1605" w:type="dxa"/>
            <w:vAlign w:val="center"/>
          </w:tcPr>
          <w:p w14:paraId="49BFCA35">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  注</w:t>
            </w:r>
          </w:p>
        </w:tc>
      </w:tr>
      <w:tr w14:paraId="237D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5D98E566">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125" w:type="dxa"/>
          </w:tcPr>
          <w:p w14:paraId="45C0856D">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2219" w:type="dxa"/>
          </w:tcPr>
          <w:p w14:paraId="6A918972">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3960" w:type="dxa"/>
          </w:tcPr>
          <w:p w14:paraId="3264ADC2">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605" w:type="dxa"/>
          </w:tcPr>
          <w:p w14:paraId="3F519DBB">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r w14:paraId="1267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6D4098CB">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125" w:type="dxa"/>
          </w:tcPr>
          <w:p w14:paraId="1452E691">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2219" w:type="dxa"/>
          </w:tcPr>
          <w:p w14:paraId="7CF30591">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3960" w:type="dxa"/>
          </w:tcPr>
          <w:p w14:paraId="2EE0BE2C">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605" w:type="dxa"/>
          </w:tcPr>
          <w:p w14:paraId="3F319712">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bl>
    <w:p w14:paraId="3FFE38CB">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lang w:val="en-US" w:eastAsia="zh-CN"/>
        </w:rPr>
      </w:pPr>
    </w:p>
    <w:p w14:paraId="58416139">
      <w:pPr>
        <w:keepNext w:val="0"/>
        <w:keepLines w:val="0"/>
        <w:widowControl/>
        <w:numPr>
          <w:ilvl w:val="0"/>
          <w:numId w:val="0"/>
        </w:numPr>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6、主要不符合项图片</w:t>
      </w:r>
    </w:p>
    <w:tbl>
      <w:tblPr>
        <w:tblStyle w:val="89"/>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25"/>
        <w:gridCol w:w="2229"/>
        <w:gridCol w:w="3950"/>
        <w:gridCol w:w="1605"/>
      </w:tblGrid>
      <w:tr w14:paraId="50A1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666FDC36">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序号</w:t>
            </w:r>
          </w:p>
        </w:tc>
        <w:tc>
          <w:tcPr>
            <w:tcW w:w="1125" w:type="dxa"/>
            <w:vAlign w:val="center"/>
          </w:tcPr>
          <w:p w14:paraId="284C9594">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部 位</w:t>
            </w:r>
          </w:p>
        </w:tc>
        <w:tc>
          <w:tcPr>
            <w:tcW w:w="2229" w:type="dxa"/>
            <w:vAlign w:val="center"/>
          </w:tcPr>
          <w:p w14:paraId="1738D6BF">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问 题 描 述</w:t>
            </w:r>
          </w:p>
        </w:tc>
        <w:tc>
          <w:tcPr>
            <w:tcW w:w="3950" w:type="dxa"/>
            <w:vAlign w:val="center"/>
          </w:tcPr>
          <w:p w14:paraId="1276AE8E">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主要不符合项照片</w:t>
            </w:r>
          </w:p>
        </w:tc>
        <w:tc>
          <w:tcPr>
            <w:tcW w:w="1605" w:type="dxa"/>
            <w:vAlign w:val="center"/>
          </w:tcPr>
          <w:p w14:paraId="246DC4B3">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备  注</w:t>
            </w:r>
          </w:p>
        </w:tc>
      </w:tr>
      <w:tr w14:paraId="05C6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04C58E76">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125" w:type="dxa"/>
          </w:tcPr>
          <w:p w14:paraId="4629D6B5">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2229" w:type="dxa"/>
          </w:tcPr>
          <w:p w14:paraId="67BC62CC">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3950" w:type="dxa"/>
          </w:tcPr>
          <w:p w14:paraId="0DF4FFB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605" w:type="dxa"/>
          </w:tcPr>
          <w:p w14:paraId="09B867F7">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r>
      <w:tr w14:paraId="08DA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14:paraId="3E95443F">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125" w:type="dxa"/>
          </w:tcPr>
          <w:p w14:paraId="6506AE36">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2229" w:type="dxa"/>
          </w:tcPr>
          <w:p w14:paraId="181DA5AA">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3950" w:type="dxa"/>
          </w:tcPr>
          <w:p w14:paraId="3484DAD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605" w:type="dxa"/>
          </w:tcPr>
          <w:p w14:paraId="0D22A2F1">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r>
    </w:tbl>
    <w:p w14:paraId="628B94A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35710E6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注：上述附表用于检测原始记录参考，无需全部放入报告中。</w:t>
      </w:r>
    </w:p>
    <w:p w14:paraId="5C23CBA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52E6434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20F419A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138824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0FAB1459">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2895B166">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231F87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F7CE57E">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48DB12CF">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10B5D347">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16DD698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6C4323E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31D47AE5">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2529FD8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C5E255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4582FA3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1C2F349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22A5276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059FE7D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3C60CF98">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0412386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6EA793E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4BBB619A">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320270EC">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6867DA41">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10BD63C0">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F854844">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3B27F406">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7B2BFDE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68908C49">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14:paraId="40A35881">
      <w:pPr>
        <w:keepNext w:val="0"/>
        <w:keepLines w:val="0"/>
        <w:widowControl/>
        <w:numPr>
          <w:ilvl w:val="0"/>
          <w:numId w:val="0"/>
        </w:numPr>
        <w:suppressLineNumbers w:val="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14:paraId="49724414">
      <w:pPr>
        <w:pStyle w:val="258"/>
        <w:bidi w:val="0"/>
        <w:rPr>
          <w:rFonts w:hint="eastAsia"/>
          <w:color w:val="auto"/>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14:paraId="3741B8FB">
      <w:pPr>
        <w:pStyle w:val="347"/>
        <w:bidi w:val="0"/>
        <w:ind w:left="0" w:leftChars="0" w:firstLine="0" w:firstLineChars="0"/>
        <w:rPr>
          <w:rFonts w:hint="eastAsia"/>
          <w:color w:val="auto"/>
          <w:lang w:val="en-US" w:eastAsia="zh-CN"/>
        </w:rPr>
      </w:pPr>
    </w:p>
    <w:p w14:paraId="0958313C">
      <w:pPr>
        <w:pStyle w:val="348"/>
        <w:bidi w:val="0"/>
        <w:ind w:left="0" w:leftChars="0" w:firstLine="0" w:firstLineChars="0"/>
        <w:rPr>
          <w:rFonts w:hint="eastAsia"/>
          <w:color w:val="auto"/>
          <w:lang w:val="en-US" w:eastAsia="zh-CN"/>
        </w:rPr>
      </w:pPr>
    </w:p>
    <w:p w14:paraId="43057AB1">
      <w:pPr>
        <w:pStyle w:val="257"/>
        <w:bidi w:val="0"/>
        <w:jc w:val="center"/>
        <w:rPr>
          <w:rFonts w:hint="eastAsia"/>
          <w:color w:val="auto"/>
          <w:lang w:val="en-US" w:eastAsia="zh-CN"/>
        </w:rPr>
      </w:pPr>
      <w:bookmarkStart w:id="703" w:name="_Toc10108"/>
      <w:r>
        <w:rPr>
          <w:rFonts w:hint="eastAsia"/>
          <w:color w:val="auto"/>
          <w:lang w:val="en-US" w:eastAsia="zh-CN"/>
        </w:rPr>
        <w:t>参  考  文  献</w:t>
      </w:r>
      <w:bookmarkEnd w:id="681"/>
      <w:bookmarkEnd w:id="682"/>
      <w:bookmarkEnd w:id="683"/>
      <w:bookmarkEnd w:id="684"/>
      <w:bookmarkEnd w:id="685"/>
      <w:bookmarkEnd w:id="686"/>
      <w:bookmarkEnd w:id="687"/>
      <w:bookmarkEnd w:id="688"/>
      <w:bookmarkEnd w:id="689"/>
      <w:bookmarkEnd w:id="690"/>
      <w:bookmarkEnd w:id="691"/>
      <w:bookmarkEnd w:id="703"/>
    </w:p>
    <w:p w14:paraId="52A12EAA">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GB 1094.1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电力变压器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第1部分：总则 </w:t>
      </w:r>
    </w:p>
    <w:p w14:paraId="2D0BF97A">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GB 1094.2  电力变压器  第2部分：液浸式变压器的温升</w:t>
      </w:r>
    </w:p>
    <w:p w14:paraId="35296BB2">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w:t>
      </w:r>
      <w:r>
        <w:rPr>
          <w:rFonts w:hint="eastAsia" w:ascii="宋体" w:hAnsi="宋体" w:cs="宋体"/>
          <w:color w:val="auto"/>
          <w:kern w:val="0"/>
          <w:sz w:val="21"/>
          <w:szCs w:val="21"/>
          <w:lang w:val="en-US" w:eastAsia="zh-CN" w:bidi="ar"/>
        </w:rPr>
        <w:t>/T</w:t>
      </w:r>
      <w:r>
        <w:rPr>
          <w:rFonts w:hint="eastAsia" w:ascii="宋体" w:hAnsi="宋体" w:eastAsia="宋体" w:cs="宋体"/>
          <w:color w:val="auto"/>
          <w:kern w:val="0"/>
          <w:sz w:val="21"/>
          <w:szCs w:val="21"/>
          <w:lang w:val="en-US" w:eastAsia="zh-CN" w:bidi="ar"/>
        </w:rPr>
        <w:t xml:space="preserve"> 1094.11  电力变压器  第11部分：干式变压器</w:t>
      </w:r>
    </w:p>
    <w:p w14:paraId="7BE56FFA">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GB/T 1094.12  电力变压器  第12部分：干式电力变压器负载导则</w:t>
      </w:r>
    </w:p>
    <w:p w14:paraId="13A5946A">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7000.1  灯具  第1部分：一般要求与试验</w:t>
      </w:r>
    </w:p>
    <w:p w14:paraId="095F82AD">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GB/T 11022  高压交流开关设备和控制设备标准的共用技术要求</w:t>
      </w:r>
    </w:p>
    <w:p w14:paraId="627B7871">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GB/T 13499  电力变压器应用导则</w:t>
      </w:r>
    </w:p>
    <w:p w14:paraId="3FF1378E">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16895.3  低压电气装置  第5－54部分：电气设备的选择和安装  接地配置和保护导体</w:t>
      </w:r>
    </w:p>
    <w:p w14:paraId="1252A9D5">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50016  建筑设计防火规范</w:t>
      </w:r>
    </w:p>
    <w:p w14:paraId="518F993B">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50052  供配电系统设计规范 </w:t>
      </w:r>
    </w:p>
    <w:p w14:paraId="710E3359">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50053  20kV及以下变电所设计规范</w:t>
      </w:r>
    </w:p>
    <w:p w14:paraId="2A628ED9">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50054  低压配电设计规范</w:t>
      </w:r>
    </w:p>
    <w:p w14:paraId="554E8E50">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GB 50055  通用用电设备配电设计规范</w:t>
      </w:r>
    </w:p>
    <w:p w14:paraId="1F427159">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50147</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 电气装置安装工程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高压电器施工及验收规范</w:t>
      </w:r>
    </w:p>
    <w:p w14:paraId="12DED24E">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50150  电气装置安装工程  电气设备交接试验标准</w:t>
      </w:r>
    </w:p>
    <w:p w14:paraId="7390F23B">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50168  电气装置安装工程  电缆线路施工及验收规范</w:t>
      </w:r>
    </w:p>
    <w:p w14:paraId="2057ADB7">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lang w:val="en-US" w:eastAsia="zh-CN"/>
        </w:rPr>
        <w:t xml:space="preserve"> </w:t>
      </w:r>
      <w:r>
        <w:rPr>
          <w:rFonts w:hint="eastAsia" w:ascii="宋体" w:hAnsi="宋体" w:eastAsia="宋体" w:cs="宋体"/>
          <w:color w:val="auto"/>
          <w:kern w:val="0"/>
          <w:sz w:val="21"/>
          <w:szCs w:val="21"/>
          <w:lang w:val="en-US" w:eastAsia="zh-CN" w:bidi="ar"/>
        </w:rPr>
        <w:t>GB 50171  电气装置安装工程  盘、柜及二次回路接线施工及验收规范</w:t>
      </w:r>
    </w:p>
    <w:p w14:paraId="14ECB787">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lang w:val="en-US" w:eastAsia="zh-CN"/>
        </w:rPr>
        <w:t xml:space="preserve"> </w:t>
      </w:r>
      <w:r>
        <w:rPr>
          <w:rFonts w:hint="eastAsia" w:ascii="宋体" w:hAnsi="宋体" w:eastAsia="宋体" w:cs="宋体"/>
          <w:color w:val="auto"/>
          <w:kern w:val="0"/>
          <w:sz w:val="21"/>
          <w:szCs w:val="21"/>
          <w:lang w:val="en-US" w:eastAsia="zh-CN" w:bidi="ar"/>
        </w:rPr>
        <w:t>GB 50194  建设工程施工现场供用电安全规范</w:t>
      </w:r>
    </w:p>
    <w:p w14:paraId="25C1A5B3">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50217  电力工程电缆设计标准</w:t>
      </w:r>
    </w:p>
    <w:p w14:paraId="6E346D75">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
        </w:rPr>
        <w:t xml:space="preserve"> GB 50222  建筑内部装修设计防火规范</w:t>
      </w:r>
    </w:p>
    <w:p w14:paraId="6E7E4397">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lang w:val="en-US" w:eastAsia="zh-CN"/>
        </w:rPr>
        <w:t xml:space="preserve"> </w:t>
      </w:r>
      <w:r>
        <w:rPr>
          <w:rFonts w:hint="eastAsia" w:ascii="宋体" w:hAnsi="宋体" w:eastAsia="宋体" w:cs="宋体"/>
          <w:color w:val="auto"/>
          <w:kern w:val="0"/>
          <w:sz w:val="21"/>
          <w:szCs w:val="21"/>
          <w:lang w:val="en-US" w:eastAsia="zh-CN" w:bidi="ar"/>
        </w:rPr>
        <w:t>GB 50254  电气装置安装工程  低压电器施工及验收规范</w:t>
      </w:r>
    </w:p>
    <w:p w14:paraId="015DF919">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GB 50303  建筑电气工程施工质量验收规范</w:t>
      </w:r>
    </w:p>
    <w:p w14:paraId="200AA879">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GB 51348  民用建筑电气设计标准</w:t>
      </w:r>
    </w:p>
    <w:p w14:paraId="69E163F7">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rPr>
      </w:pPr>
      <w:r>
        <w:rPr>
          <w:rFonts w:hint="eastAsia" w:ascii="宋体" w:hAnsi="宋体" w:cs="宋体"/>
          <w:color w:val="auto"/>
          <w:kern w:val="0"/>
          <w:sz w:val="21"/>
          <w:szCs w:val="21"/>
          <w:lang w:val="en-US" w:eastAsia="zh-CN" w:bidi="ar"/>
        </w:rPr>
        <w:t xml:space="preserve"> GB 55024  建筑电气与智能化通用规范</w:t>
      </w:r>
    </w:p>
    <w:p w14:paraId="7BCCCC9E">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DL/T 572  电力变压器运行规程</w:t>
      </w:r>
    </w:p>
    <w:p w14:paraId="3BC47906">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 xml:space="preserve"> DL/T 1102  配电变压器运行规程</w:t>
      </w:r>
    </w:p>
    <w:p w14:paraId="7B069D87">
      <w:pPr>
        <w:pStyle w:val="524"/>
        <w:keepNext w:val="0"/>
        <w:keepLines w:val="0"/>
        <w:pageBreakBefore w:val="0"/>
        <w:widowControl/>
        <w:numPr>
          <w:ilvl w:val="0"/>
          <w:numId w:val="0"/>
        </w:numPr>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color w:val="auto"/>
          <w:kern w:val="0"/>
          <w:sz w:val="21"/>
          <w:szCs w:val="21"/>
          <w:lang w:val="en-US" w:eastAsia="zh-CN" w:bidi="ar"/>
        </w:rPr>
      </w:pPr>
      <w:bookmarkStart w:id="704" w:name="终结线"/>
      <w:bookmarkEnd w:id="704"/>
      <w:r>
        <w:rPr>
          <w:rFonts w:hint="eastAsia" w:ascii="黑体" w:hAnsi="黑体" w:eastAsia="黑体" w:cs="黑体"/>
          <w:b/>
          <w:color w:val="auto"/>
          <w:kern w:val="0"/>
          <w:sz w:val="21"/>
          <w:szCs w:val="21"/>
          <w:lang w:val="en-US" w:eastAsia="zh-CN" w:bidi="ar"/>
        </w:rPr>
        <w:t>━━━━━━━━━━━</w:t>
      </w:r>
    </w:p>
    <w:sectPr>
      <w:pgSz w:w="11907" w:h="16839"/>
      <w:pgMar w:top="1418" w:right="1134" w:bottom="1134" w:left="1418" w:header="1418" w:footer="1134" w:gutter="0"/>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LWGWQWJR0_19_0">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D043">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eastAsia="宋体"/>
        <w:lang w:eastAsia="zh-CN"/>
      </w:rPr>
    </w:pPr>
    <w:r>
      <w:rPr>
        <w:rStyle w:val="234"/>
        <w:rFonts w:hint="eastAsia"/>
        <w:lang w:eastAsia="zh-CN"/>
      </w:rPr>
      <w:t xml:space="preserve"> </w:t>
    </w:r>
  </w:p>
  <w:p w14:paraId="4062577D">
    <w:pPr>
      <w:pStyle w:val="252"/>
      <w:spacing w:before="0"/>
      <w:ind w:right="360" w:firstLine="360" w:firstLineChars="0"/>
      <w:rPr>
        <w:rStyle w:val="234"/>
      </w:rPr>
    </w:pPr>
  </w:p>
  <w:p w14:paraId="5F1FDCCD">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A45A1">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ascii="宋体" w:hAnsi="宋体" w:eastAsia="宋体" w:cs="宋体"/>
      </w:rPr>
    </w:pPr>
    <w:r>
      <w:rPr>
        <w:rStyle w:val="234"/>
        <w:rFonts w:hint="eastAsia" w:ascii="宋体" w:hAnsi="宋体" w:eastAsia="宋体" w:cs="宋体"/>
      </w:rPr>
      <w:fldChar w:fldCharType="begin"/>
    </w:r>
    <w:r>
      <w:rPr>
        <w:rStyle w:val="234"/>
        <w:rFonts w:hint="eastAsia" w:ascii="宋体" w:hAnsi="宋体" w:eastAsia="宋体" w:cs="宋体"/>
      </w:rPr>
      <w:instrText xml:space="preserve"> PAGE </w:instrText>
    </w:r>
    <w:r>
      <w:rPr>
        <w:rStyle w:val="234"/>
        <w:rFonts w:hint="eastAsia" w:ascii="宋体" w:hAnsi="宋体" w:eastAsia="宋体" w:cs="宋体"/>
      </w:rPr>
      <w:fldChar w:fldCharType="separate"/>
    </w:r>
    <w:r>
      <w:rPr>
        <w:rStyle w:val="234"/>
        <w:rFonts w:hint="eastAsia" w:ascii="宋体" w:hAnsi="宋体" w:eastAsia="宋体" w:cs="宋体"/>
      </w:rPr>
      <w:t>1</w:t>
    </w:r>
    <w:r>
      <w:rPr>
        <w:rStyle w:val="234"/>
        <w:rFonts w:hint="eastAsia" w:ascii="宋体" w:hAnsi="宋体" w:eastAsia="宋体" w:cs="宋体"/>
      </w:rPr>
      <w:fldChar w:fldCharType="end"/>
    </w:r>
  </w:p>
  <w:p w14:paraId="502E12B1">
    <w:pPr>
      <w:pStyle w:val="251"/>
      <w:spacing w:before="0"/>
      <w:ind w:right="360" w:firstLine="360" w:firstLineChars="0"/>
      <w:rPr>
        <w:rStyle w:val="234"/>
        <w:rFonts w:hint="default" w:eastAsia="宋体"/>
        <w:lang w:val="en-US" w:eastAsia="zh-CN"/>
      </w:rPr>
    </w:pPr>
    <w:r>
      <w:rPr>
        <w:rStyle w:val="234"/>
        <w:rFonts w:hint="eastAsia"/>
        <w:lang w:val="en-US" w:eastAsia="zh-CN"/>
      </w:rPr>
      <w:t xml:space="preserve">                                                                                    </w:t>
    </w:r>
  </w:p>
  <w:p w14:paraId="67479547">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9B82">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E45C">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6B499E4F">
    <w:pPr>
      <w:pStyle w:val="252"/>
      <w:spacing w:before="0"/>
      <w:ind w:right="360" w:firstLine="360" w:firstLineChars="0"/>
      <w:rPr>
        <w:rStyle w:val="234"/>
      </w:rPr>
    </w:pPr>
  </w:p>
  <w:p w14:paraId="6B41847F">
    <w:pPr>
      <w:pStyle w:val="252"/>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59AA">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Fonts w:hint="eastAsia" w:ascii="宋体" w:hAnsi="宋体" w:eastAsia="宋体" w:cs="宋体"/>
      </w:rPr>
      <w:fldChar w:fldCharType="begin"/>
    </w:r>
    <w:r>
      <w:rPr>
        <w:rStyle w:val="234"/>
        <w:rFonts w:hint="eastAsia" w:ascii="宋体" w:hAnsi="宋体" w:eastAsia="宋体" w:cs="宋体"/>
      </w:rPr>
      <w:instrText xml:space="preserve"> PAGE </w:instrText>
    </w:r>
    <w:r>
      <w:rPr>
        <w:rStyle w:val="234"/>
        <w:rFonts w:hint="eastAsia" w:ascii="宋体" w:hAnsi="宋体" w:eastAsia="宋体" w:cs="宋体"/>
      </w:rPr>
      <w:fldChar w:fldCharType="separate"/>
    </w:r>
    <w:r>
      <w:rPr>
        <w:rStyle w:val="234"/>
        <w:rFonts w:hint="eastAsia" w:ascii="宋体" w:hAnsi="宋体" w:eastAsia="宋体" w:cs="宋体"/>
      </w:rPr>
      <w:t>1</w:t>
    </w:r>
    <w:r>
      <w:rPr>
        <w:rStyle w:val="234"/>
        <w:rFonts w:hint="eastAsia" w:ascii="宋体" w:hAnsi="宋体" w:eastAsia="宋体" w:cs="宋体"/>
      </w:rPr>
      <w:fldChar w:fldCharType="end"/>
    </w:r>
  </w:p>
  <w:p w14:paraId="36F704EE">
    <w:pPr>
      <w:pStyle w:val="252"/>
      <w:spacing w:before="0"/>
      <w:ind w:right="360" w:firstLine="360" w:firstLineChars="0"/>
      <w:rPr>
        <w:rStyle w:val="234"/>
      </w:rPr>
    </w:pPr>
  </w:p>
  <w:p w14:paraId="036C53A1">
    <w:pPr>
      <w:pStyle w:val="252"/>
      <w:spacing w:before="0"/>
      <w:rPr>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A0A1">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57EE75BA">
    <w:pPr>
      <w:pStyle w:val="5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494A">
    <w:pPr>
      <w:pStyle w:val="253"/>
      <w:bidi w:val="0"/>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C500">
    <w:pPr>
      <w:pStyle w:val="254"/>
      <w:bidi w:val="0"/>
      <w:rPr>
        <w:rFonts w:hint="eastAsia"/>
        <w:lang w:eastAsia="zh-CN"/>
      </w:rPr>
    </w:pPr>
    <w:r>
      <w:rPr>
        <w:rFonts w:hint="eastAsia"/>
        <w:lang w:eastAsia="zh-CN"/>
      </w:rPr>
      <w:t>T/CQFPA 001-2024</w:t>
    </w:r>
  </w:p>
  <w:p w14:paraId="2ADAC4D3">
    <w:pPr>
      <w:pStyle w:val="254"/>
      <w:bidi w:val="0"/>
      <w:rPr>
        <w:rFonts w:hint="eastAsia"/>
        <w:lang w:eastAsia="zh-CN"/>
      </w:rPr>
    </w:pPr>
    <w:r>
      <w:rPr>
        <w:rFonts w:hint="eastAsia"/>
        <w:lang w:eastAsia="zh-CN"/>
      </w:rPr>
      <w:t>T/SCXFXH 001-2024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1D70">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E1BF">
    <w:pPr>
      <w:pStyle w:val="253"/>
      <w:keepNext w:val="0"/>
      <w:keepLines w:val="0"/>
      <w:pageBreakBefore w:val="0"/>
      <w:widowControl/>
      <w:kinsoku/>
      <w:wordWrap/>
      <w:overflowPunct/>
      <w:topLinePunct w:val="0"/>
      <w:autoSpaceDE/>
      <w:autoSpaceDN/>
      <w:bidi w:val="0"/>
      <w:adjustRightInd/>
      <w:snapToGrid/>
      <w:spacing w:after="0"/>
      <w:textAlignment w:val="auto"/>
      <w:rPr>
        <w:rFonts w:hint="eastAsia"/>
        <w:lang w:eastAsia="zh-CN"/>
      </w:rPr>
    </w:pPr>
    <w:r>
      <w:rPr>
        <w:rFonts w:hint="eastAsia"/>
        <w:lang w:eastAsia="zh-CN"/>
      </w:rPr>
      <w:t>T/CQFPA 001-2024</w:t>
    </w:r>
  </w:p>
  <w:p w14:paraId="79AC1324">
    <w:pPr>
      <w:pStyle w:val="253"/>
      <w:keepNext w:val="0"/>
      <w:keepLines w:val="0"/>
      <w:pageBreakBefore w:val="0"/>
      <w:widowControl/>
      <w:kinsoku/>
      <w:wordWrap/>
      <w:overflowPunct/>
      <w:topLinePunct w:val="0"/>
      <w:autoSpaceDE/>
      <w:autoSpaceDN/>
      <w:bidi w:val="0"/>
      <w:adjustRightInd/>
      <w:snapToGrid/>
      <w:spacing w:after="0"/>
      <w:textAlignment w:val="auto"/>
      <w:rPr>
        <w:rFonts w:hint="eastAsia"/>
        <w:lang w:eastAsia="zh-CN"/>
      </w:rPr>
    </w:pPr>
    <w:r>
      <w:rPr>
        <w:rFonts w:hint="eastAsia"/>
        <w:lang w:eastAsia="zh-CN"/>
      </w:rPr>
      <w:t xml:space="preserve">   T/SCXFXH 001-2024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DC9C">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A342">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A9C8"/>
    <w:multiLevelType w:val="singleLevel"/>
    <w:tmpl w:val="8760A9C8"/>
    <w:lvl w:ilvl="0" w:tentative="0">
      <w:start w:val="2"/>
      <w:numFmt w:val="chineseCounting"/>
      <w:suff w:val="nothing"/>
      <w:lvlText w:val="%1、"/>
      <w:lvlJc w:val="left"/>
      <w:rPr>
        <w:rFonts w:hint="eastAsia"/>
      </w:rPr>
    </w:lvl>
  </w:abstractNum>
  <w:abstractNum w:abstractNumId="1">
    <w:nsid w:val="A642C6CF"/>
    <w:multiLevelType w:val="multilevel"/>
    <w:tmpl w:val="A642C6CF"/>
    <w:lvl w:ilvl="0" w:tentative="0">
      <w:start w:val="1"/>
      <w:numFmt w:val="upperLetter"/>
      <w:pStyle w:val="347"/>
      <w:lvlText w:val="%1"/>
      <w:lvlJc w:val="left"/>
      <w:pPr>
        <w:tabs>
          <w:tab w:val="left" w:pos="0"/>
        </w:tabs>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pStyle w:val="275"/>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pStyle w:val="317"/>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D7153597"/>
    <w:multiLevelType w:val="singleLevel"/>
    <w:tmpl w:val="D7153597"/>
    <w:lvl w:ilvl="0" w:tentative="0">
      <w:start w:val="1"/>
      <w:numFmt w:val="decimal"/>
      <w:suff w:val="space"/>
      <w:lvlText w:val="[%1]"/>
      <w:lvlJc w:val="left"/>
    </w:lvl>
  </w:abstractNum>
  <w:abstractNum w:abstractNumId="3">
    <w:nsid w:val="D84BB021"/>
    <w:multiLevelType w:val="singleLevel"/>
    <w:tmpl w:val="D84BB021"/>
    <w:lvl w:ilvl="0" w:tentative="0">
      <w:start w:val="1"/>
      <w:numFmt w:val="lowerLetter"/>
      <w:suff w:val="space"/>
      <w:lvlText w:val="%1)"/>
      <w:lvlJc w:val="left"/>
    </w:lvl>
  </w:abstractNum>
  <w:abstractNum w:abstractNumId="4">
    <w:nsid w:val="F915A510"/>
    <w:multiLevelType w:val="multilevel"/>
    <w:tmpl w:val="F915A510"/>
    <w:lvl w:ilvl="0" w:tentative="0">
      <w:start w:val="1"/>
      <w:numFmt w:val="upperLetter"/>
      <w:lvlText w:val="%1"/>
      <w:lvlJc w:val="left"/>
      <w:pPr>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suff w:val="nothing"/>
      <w:lvlText w:val="图%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8">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20">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5">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41B9DDC"/>
    <w:multiLevelType w:val="multilevel"/>
    <w:tmpl w:val="741B9DDC"/>
    <w:lvl w:ilvl="0" w:tentative="0">
      <w:start w:val="1"/>
      <w:numFmt w:val="upperLetter"/>
      <w:pStyle w:val="348"/>
      <w:lvlText w:val="%1"/>
      <w:lvlJc w:val="left"/>
      <w:pPr>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pStyle w:val="281"/>
      <w:suff w:val="nothing"/>
      <w:lvlText w:val="图%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8"/>
  </w:num>
  <w:num w:numId="4">
    <w:abstractNumId w:val="10"/>
  </w:num>
  <w:num w:numId="5">
    <w:abstractNumId w:val="13"/>
  </w:num>
  <w:num w:numId="6">
    <w:abstractNumId w:val="14"/>
  </w:num>
  <w:num w:numId="7">
    <w:abstractNumId w:val="11"/>
  </w:num>
  <w:num w:numId="8">
    <w:abstractNumId w:val="7"/>
  </w:num>
  <w:num w:numId="9">
    <w:abstractNumId w:val="12"/>
  </w:num>
  <w:num w:numId="10">
    <w:abstractNumId w:val="9"/>
  </w:num>
  <w:num w:numId="11">
    <w:abstractNumId w:val="6"/>
  </w:num>
  <w:num w:numId="12">
    <w:abstractNumId w:val="5"/>
  </w:num>
  <w:num w:numId="13">
    <w:abstractNumId w:val="20"/>
  </w:num>
  <w:num w:numId="14">
    <w:abstractNumId w:val="28"/>
  </w:num>
  <w:num w:numId="15">
    <w:abstractNumId w:val="31"/>
  </w:num>
  <w:num w:numId="16">
    <w:abstractNumId w:val="33"/>
  </w:num>
  <w:num w:numId="17">
    <w:abstractNumId w:val="18"/>
  </w:num>
  <w:num w:numId="18">
    <w:abstractNumId w:val="23"/>
  </w:num>
  <w:num w:numId="19">
    <w:abstractNumId w:val="27"/>
  </w:num>
  <w:num w:numId="20">
    <w:abstractNumId w:val="17"/>
  </w:num>
  <w:num w:numId="21">
    <w:abstractNumId w:val="25"/>
  </w:num>
  <w:num w:numId="22">
    <w:abstractNumId w:val="30"/>
  </w:num>
  <w:num w:numId="23">
    <w:abstractNumId w:val="15"/>
  </w:num>
  <w:num w:numId="24">
    <w:abstractNumId w:val="24"/>
  </w:num>
  <w:num w:numId="25">
    <w:abstractNumId w:val="32"/>
  </w:num>
  <w:num w:numId="26">
    <w:abstractNumId w:val="19"/>
  </w:num>
  <w:num w:numId="27">
    <w:abstractNumId w:val="22"/>
  </w:num>
  <w:num w:numId="28">
    <w:abstractNumId w:val="16"/>
  </w:num>
  <w:num w:numId="29">
    <w:abstractNumId w:val="29"/>
  </w:num>
  <w:num w:numId="30">
    <w:abstractNumId w:val="26"/>
  </w:num>
  <w:num w:numId="31">
    <w:abstractNumId w:val="21"/>
  </w:num>
  <w:num w:numId="32">
    <w:abstractNumId w:val="3"/>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hZDRhNDE2ZWM3NzJlOTE0Mzk2Y2U1ODUyNTIyZTQifQ=="/>
    <w:docVar w:name="KSO_WPS_MARK_KEY" w:val="5ec38306-f48b-4d4b-b463-bf580db3e169"/>
  </w:docVars>
  <w:rsids>
    <w:rsidRoot w:val="63300C6C"/>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11CD3"/>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25CF"/>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4ADD"/>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A06E9D"/>
    <w:rsid w:val="01D45C7C"/>
    <w:rsid w:val="01E34A2D"/>
    <w:rsid w:val="02704AC1"/>
    <w:rsid w:val="02942B85"/>
    <w:rsid w:val="030C44FD"/>
    <w:rsid w:val="03597303"/>
    <w:rsid w:val="03A85A55"/>
    <w:rsid w:val="03AE32BE"/>
    <w:rsid w:val="041D1C92"/>
    <w:rsid w:val="04622E73"/>
    <w:rsid w:val="04692357"/>
    <w:rsid w:val="0580185D"/>
    <w:rsid w:val="05B253F0"/>
    <w:rsid w:val="05C15C15"/>
    <w:rsid w:val="061B1C3B"/>
    <w:rsid w:val="06D04346"/>
    <w:rsid w:val="07080621"/>
    <w:rsid w:val="07133C6D"/>
    <w:rsid w:val="0737409F"/>
    <w:rsid w:val="075B6855"/>
    <w:rsid w:val="075C0E40"/>
    <w:rsid w:val="075C73C2"/>
    <w:rsid w:val="076239C8"/>
    <w:rsid w:val="0768465A"/>
    <w:rsid w:val="077B3ED1"/>
    <w:rsid w:val="07807645"/>
    <w:rsid w:val="0974751C"/>
    <w:rsid w:val="0A4E2D36"/>
    <w:rsid w:val="0AAF1847"/>
    <w:rsid w:val="0AFA0F02"/>
    <w:rsid w:val="0B275F39"/>
    <w:rsid w:val="0B324039"/>
    <w:rsid w:val="0B390434"/>
    <w:rsid w:val="0B3F7726"/>
    <w:rsid w:val="0B6C3742"/>
    <w:rsid w:val="0C0F70F9"/>
    <w:rsid w:val="0C120997"/>
    <w:rsid w:val="0C362D03"/>
    <w:rsid w:val="0CB84454"/>
    <w:rsid w:val="0CCD4CCD"/>
    <w:rsid w:val="0E06277D"/>
    <w:rsid w:val="0E4868F2"/>
    <w:rsid w:val="0E4B6986"/>
    <w:rsid w:val="0E5F5406"/>
    <w:rsid w:val="0EE71B02"/>
    <w:rsid w:val="0F473047"/>
    <w:rsid w:val="102962A1"/>
    <w:rsid w:val="10371D79"/>
    <w:rsid w:val="106823F3"/>
    <w:rsid w:val="107B1E9B"/>
    <w:rsid w:val="10FF7000"/>
    <w:rsid w:val="111D5D5A"/>
    <w:rsid w:val="112E6273"/>
    <w:rsid w:val="11AC0A10"/>
    <w:rsid w:val="11B85B3D"/>
    <w:rsid w:val="11BA3663"/>
    <w:rsid w:val="11F8062F"/>
    <w:rsid w:val="124E251A"/>
    <w:rsid w:val="12512CCB"/>
    <w:rsid w:val="12696E37"/>
    <w:rsid w:val="1272218F"/>
    <w:rsid w:val="12BD7AE3"/>
    <w:rsid w:val="12EA2F3A"/>
    <w:rsid w:val="132052F0"/>
    <w:rsid w:val="137E2E86"/>
    <w:rsid w:val="13950723"/>
    <w:rsid w:val="13F015BE"/>
    <w:rsid w:val="140E7E0D"/>
    <w:rsid w:val="14627FE2"/>
    <w:rsid w:val="14A733C6"/>
    <w:rsid w:val="151B08BC"/>
    <w:rsid w:val="15637FC7"/>
    <w:rsid w:val="15A90DCF"/>
    <w:rsid w:val="15DA6465"/>
    <w:rsid w:val="160F5F9A"/>
    <w:rsid w:val="168D57EA"/>
    <w:rsid w:val="169052DA"/>
    <w:rsid w:val="16D81703"/>
    <w:rsid w:val="17661661"/>
    <w:rsid w:val="176A5B2B"/>
    <w:rsid w:val="18297794"/>
    <w:rsid w:val="182E6B59"/>
    <w:rsid w:val="18FE633B"/>
    <w:rsid w:val="190A3122"/>
    <w:rsid w:val="195D1C32"/>
    <w:rsid w:val="19C84D8B"/>
    <w:rsid w:val="19F768F7"/>
    <w:rsid w:val="1A085187"/>
    <w:rsid w:val="1AD01AC9"/>
    <w:rsid w:val="1AD43235"/>
    <w:rsid w:val="1B086E06"/>
    <w:rsid w:val="1B65749E"/>
    <w:rsid w:val="1BDD4B1E"/>
    <w:rsid w:val="1C1222ED"/>
    <w:rsid w:val="1C8A6670"/>
    <w:rsid w:val="1CAC44F0"/>
    <w:rsid w:val="1D337A53"/>
    <w:rsid w:val="1D705868"/>
    <w:rsid w:val="1DC35952"/>
    <w:rsid w:val="1DCD766E"/>
    <w:rsid w:val="1DE81BB7"/>
    <w:rsid w:val="1DFD4723"/>
    <w:rsid w:val="1E050DC3"/>
    <w:rsid w:val="1E5E16E1"/>
    <w:rsid w:val="1E61280A"/>
    <w:rsid w:val="1E935922"/>
    <w:rsid w:val="1EC04283"/>
    <w:rsid w:val="1EFF06D1"/>
    <w:rsid w:val="1FB0223A"/>
    <w:rsid w:val="1FDF538D"/>
    <w:rsid w:val="20BB106F"/>
    <w:rsid w:val="21710A4D"/>
    <w:rsid w:val="220152DE"/>
    <w:rsid w:val="224A03B5"/>
    <w:rsid w:val="229879F0"/>
    <w:rsid w:val="22B01372"/>
    <w:rsid w:val="22C04851"/>
    <w:rsid w:val="22E16DDB"/>
    <w:rsid w:val="233D0598"/>
    <w:rsid w:val="233D5EA2"/>
    <w:rsid w:val="23BB7E35"/>
    <w:rsid w:val="24A501A2"/>
    <w:rsid w:val="25EE0C23"/>
    <w:rsid w:val="25F13A07"/>
    <w:rsid w:val="26B542F4"/>
    <w:rsid w:val="26D107F9"/>
    <w:rsid w:val="27223D2C"/>
    <w:rsid w:val="276B7873"/>
    <w:rsid w:val="276E2ACE"/>
    <w:rsid w:val="27BB5D65"/>
    <w:rsid w:val="27D52A25"/>
    <w:rsid w:val="28193D2A"/>
    <w:rsid w:val="28824CD1"/>
    <w:rsid w:val="28902E1F"/>
    <w:rsid w:val="28B9246E"/>
    <w:rsid w:val="28F74D45"/>
    <w:rsid w:val="297C3D31"/>
    <w:rsid w:val="2987431B"/>
    <w:rsid w:val="29E57C5A"/>
    <w:rsid w:val="2A621CC0"/>
    <w:rsid w:val="2A8E01FC"/>
    <w:rsid w:val="2ABB0720"/>
    <w:rsid w:val="2AD46379"/>
    <w:rsid w:val="2ADC0495"/>
    <w:rsid w:val="2AE22BC8"/>
    <w:rsid w:val="2B427374"/>
    <w:rsid w:val="2B560448"/>
    <w:rsid w:val="2BAA05AF"/>
    <w:rsid w:val="2C4D6197"/>
    <w:rsid w:val="2D233DAE"/>
    <w:rsid w:val="2D404F0C"/>
    <w:rsid w:val="2D4349FC"/>
    <w:rsid w:val="2D4D587B"/>
    <w:rsid w:val="2E277E7A"/>
    <w:rsid w:val="2F4B3286"/>
    <w:rsid w:val="317E2D84"/>
    <w:rsid w:val="31D91DBA"/>
    <w:rsid w:val="32040B68"/>
    <w:rsid w:val="3212203F"/>
    <w:rsid w:val="32136AC2"/>
    <w:rsid w:val="322E49F9"/>
    <w:rsid w:val="32867865"/>
    <w:rsid w:val="32B1065A"/>
    <w:rsid w:val="32C570BA"/>
    <w:rsid w:val="331D1490"/>
    <w:rsid w:val="33D53ED4"/>
    <w:rsid w:val="34D32B0A"/>
    <w:rsid w:val="354E60E2"/>
    <w:rsid w:val="356469EF"/>
    <w:rsid w:val="356E1F36"/>
    <w:rsid w:val="356F0E20"/>
    <w:rsid w:val="36286199"/>
    <w:rsid w:val="364E58BC"/>
    <w:rsid w:val="368B22C2"/>
    <w:rsid w:val="369849BD"/>
    <w:rsid w:val="36CE0629"/>
    <w:rsid w:val="36E3011C"/>
    <w:rsid w:val="37B161D1"/>
    <w:rsid w:val="380F75E4"/>
    <w:rsid w:val="385E57E6"/>
    <w:rsid w:val="387243E8"/>
    <w:rsid w:val="38806455"/>
    <w:rsid w:val="38E726E0"/>
    <w:rsid w:val="396C52DB"/>
    <w:rsid w:val="39AF3CC9"/>
    <w:rsid w:val="3A184B1B"/>
    <w:rsid w:val="3A296D28"/>
    <w:rsid w:val="3A2D1ACC"/>
    <w:rsid w:val="3A5C2699"/>
    <w:rsid w:val="3A7929CB"/>
    <w:rsid w:val="3AA452E8"/>
    <w:rsid w:val="3AD56CC2"/>
    <w:rsid w:val="3B021A53"/>
    <w:rsid w:val="3B365BA1"/>
    <w:rsid w:val="3B500204"/>
    <w:rsid w:val="3C202EE7"/>
    <w:rsid w:val="3C3A6FCB"/>
    <w:rsid w:val="3CD00724"/>
    <w:rsid w:val="3D2739F3"/>
    <w:rsid w:val="3D6A0D87"/>
    <w:rsid w:val="3E6842C3"/>
    <w:rsid w:val="3EE0165D"/>
    <w:rsid w:val="3F11193A"/>
    <w:rsid w:val="3F224721"/>
    <w:rsid w:val="3F7B245F"/>
    <w:rsid w:val="3F8F704B"/>
    <w:rsid w:val="3FBA6005"/>
    <w:rsid w:val="3FCA37DB"/>
    <w:rsid w:val="40251D40"/>
    <w:rsid w:val="403116E7"/>
    <w:rsid w:val="406F15FB"/>
    <w:rsid w:val="408D6263"/>
    <w:rsid w:val="40B05AAD"/>
    <w:rsid w:val="40D00EB9"/>
    <w:rsid w:val="41596145"/>
    <w:rsid w:val="41F62235"/>
    <w:rsid w:val="430B16C1"/>
    <w:rsid w:val="43705C94"/>
    <w:rsid w:val="438C2802"/>
    <w:rsid w:val="43E44ACD"/>
    <w:rsid w:val="44320519"/>
    <w:rsid w:val="44346DA7"/>
    <w:rsid w:val="4483597D"/>
    <w:rsid w:val="44AC21ED"/>
    <w:rsid w:val="44B518E4"/>
    <w:rsid w:val="44ED71B7"/>
    <w:rsid w:val="451B276B"/>
    <w:rsid w:val="45C42E27"/>
    <w:rsid w:val="460159A0"/>
    <w:rsid w:val="46500C71"/>
    <w:rsid w:val="465F6AE2"/>
    <w:rsid w:val="46B1503E"/>
    <w:rsid w:val="47073C34"/>
    <w:rsid w:val="47C73F0B"/>
    <w:rsid w:val="48446767"/>
    <w:rsid w:val="48735D3E"/>
    <w:rsid w:val="48A51332"/>
    <w:rsid w:val="48CB2766"/>
    <w:rsid w:val="48FB44F3"/>
    <w:rsid w:val="499F3C43"/>
    <w:rsid w:val="49BB659E"/>
    <w:rsid w:val="49C304C6"/>
    <w:rsid w:val="49EE2F51"/>
    <w:rsid w:val="4A02485B"/>
    <w:rsid w:val="4A104000"/>
    <w:rsid w:val="4A292188"/>
    <w:rsid w:val="4A866825"/>
    <w:rsid w:val="4A8A3D5B"/>
    <w:rsid w:val="4A9F106C"/>
    <w:rsid w:val="4ABF0C00"/>
    <w:rsid w:val="4B237D08"/>
    <w:rsid w:val="4B4A0085"/>
    <w:rsid w:val="4BA821D9"/>
    <w:rsid w:val="4BF5409E"/>
    <w:rsid w:val="4C393C27"/>
    <w:rsid w:val="4CA343B8"/>
    <w:rsid w:val="4CAF130F"/>
    <w:rsid w:val="4D656DD3"/>
    <w:rsid w:val="4DBD5360"/>
    <w:rsid w:val="4E105DDD"/>
    <w:rsid w:val="4F037F97"/>
    <w:rsid w:val="4F0A6B44"/>
    <w:rsid w:val="4F52191F"/>
    <w:rsid w:val="4F5B577E"/>
    <w:rsid w:val="4F5C3615"/>
    <w:rsid w:val="4FE5670E"/>
    <w:rsid w:val="503076D9"/>
    <w:rsid w:val="5054476F"/>
    <w:rsid w:val="50816CB4"/>
    <w:rsid w:val="50EC2B32"/>
    <w:rsid w:val="513149E8"/>
    <w:rsid w:val="51453FF0"/>
    <w:rsid w:val="514F045F"/>
    <w:rsid w:val="51A774B9"/>
    <w:rsid w:val="51AA1437"/>
    <w:rsid w:val="52F60736"/>
    <w:rsid w:val="53516FB9"/>
    <w:rsid w:val="53E53868"/>
    <w:rsid w:val="53E835A2"/>
    <w:rsid w:val="53EC4876"/>
    <w:rsid w:val="55A734CB"/>
    <w:rsid w:val="55DB7F9A"/>
    <w:rsid w:val="56613BC6"/>
    <w:rsid w:val="56A4388D"/>
    <w:rsid w:val="56F75D8C"/>
    <w:rsid w:val="57842C6E"/>
    <w:rsid w:val="57AC12E1"/>
    <w:rsid w:val="57DA7034"/>
    <w:rsid w:val="57EC53FF"/>
    <w:rsid w:val="585D4AAE"/>
    <w:rsid w:val="58802BB0"/>
    <w:rsid w:val="58C83E84"/>
    <w:rsid w:val="58D91C8B"/>
    <w:rsid w:val="59B9061C"/>
    <w:rsid w:val="5B6F4A8B"/>
    <w:rsid w:val="5B870D24"/>
    <w:rsid w:val="5C685272"/>
    <w:rsid w:val="5C8473F4"/>
    <w:rsid w:val="5C934B99"/>
    <w:rsid w:val="5CCC5BEA"/>
    <w:rsid w:val="5D0706CB"/>
    <w:rsid w:val="5D56454A"/>
    <w:rsid w:val="5D9C768D"/>
    <w:rsid w:val="5DBF3C1C"/>
    <w:rsid w:val="5E0E058B"/>
    <w:rsid w:val="5E164DF6"/>
    <w:rsid w:val="5E562C87"/>
    <w:rsid w:val="5E794835"/>
    <w:rsid w:val="5F2913F5"/>
    <w:rsid w:val="5F862461"/>
    <w:rsid w:val="60261490"/>
    <w:rsid w:val="609D79A4"/>
    <w:rsid w:val="613D6A07"/>
    <w:rsid w:val="61811074"/>
    <w:rsid w:val="61834DEC"/>
    <w:rsid w:val="62175ED4"/>
    <w:rsid w:val="62A1615C"/>
    <w:rsid w:val="631C679C"/>
    <w:rsid w:val="6343777A"/>
    <w:rsid w:val="634443D3"/>
    <w:rsid w:val="634B4390"/>
    <w:rsid w:val="635A449C"/>
    <w:rsid w:val="636C26A2"/>
    <w:rsid w:val="639428D4"/>
    <w:rsid w:val="639516FF"/>
    <w:rsid w:val="63A948B2"/>
    <w:rsid w:val="63C43D98"/>
    <w:rsid w:val="63C524A6"/>
    <w:rsid w:val="63D3255E"/>
    <w:rsid w:val="63DC6A36"/>
    <w:rsid w:val="644A4A48"/>
    <w:rsid w:val="65816C06"/>
    <w:rsid w:val="659A1083"/>
    <w:rsid w:val="65C94971"/>
    <w:rsid w:val="662E6926"/>
    <w:rsid w:val="668E0C7E"/>
    <w:rsid w:val="668F1ACD"/>
    <w:rsid w:val="66D165FA"/>
    <w:rsid w:val="67B53C44"/>
    <w:rsid w:val="67EB5499"/>
    <w:rsid w:val="685748DD"/>
    <w:rsid w:val="68660FC4"/>
    <w:rsid w:val="68680E34"/>
    <w:rsid w:val="686A3259"/>
    <w:rsid w:val="68995E47"/>
    <w:rsid w:val="68E775E6"/>
    <w:rsid w:val="68F22484"/>
    <w:rsid w:val="69132EFA"/>
    <w:rsid w:val="69405787"/>
    <w:rsid w:val="69C51D1A"/>
    <w:rsid w:val="6A9B33DB"/>
    <w:rsid w:val="6AF42ACD"/>
    <w:rsid w:val="6B0C754A"/>
    <w:rsid w:val="6B271D47"/>
    <w:rsid w:val="6B9B2D32"/>
    <w:rsid w:val="6C012722"/>
    <w:rsid w:val="6C44161C"/>
    <w:rsid w:val="6D3C2E83"/>
    <w:rsid w:val="6D486EEA"/>
    <w:rsid w:val="6D624191"/>
    <w:rsid w:val="6DA71E62"/>
    <w:rsid w:val="6DA74A49"/>
    <w:rsid w:val="6E4C5FF9"/>
    <w:rsid w:val="6EC51416"/>
    <w:rsid w:val="6F5E746F"/>
    <w:rsid w:val="6F6B5112"/>
    <w:rsid w:val="6FB24804"/>
    <w:rsid w:val="7055201D"/>
    <w:rsid w:val="70ED22B7"/>
    <w:rsid w:val="70F51137"/>
    <w:rsid w:val="70F8171B"/>
    <w:rsid w:val="70FD7FEB"/>
    <w:rsid w:val="71104EBB"/>
    <w:rsid w:val="7130353D"/>
    <w:rsid w:val="71905022"/>
    <w:rsid w:val="71A44561"/>
    <w:rsid w:val="71E2371D"/>
    <w:rsid w:val="723B6608"/>
    <w:rsid w:val="72A434DA"/>
    <w:rsid w:val="73376BFD"/>
    <w:rsid w:val="73950940"/>
    <w:rsid w:val="7400407A"/>
    <w:rsid w:val="74477EFB"/>
    <w:rsid w:val="746B2CF0"/>
    <w:rsid w:val="748C1DB2"/>
    <w:rsid w:val="74FC1468"/>
    <w:rsid w:val="7548217D"/>
    <w:rsid w:val="75A73C5B"/>
    <w:rsid w:val="76415043"/>
    <w:rsid w:val="768A40CF"/>
    <w:rsid w:val="76EA1012"/>
    <w:rsid w:val="76EA7241"/>
    <w:rsid w:val="772B155D"/>
    <w:rsid w:val="77434B3E"/>
    <w:rsid w:val="7750785E"/>
    <w:rsid w:val="77701517"/>
    <w:rsid w:val="77B468C6"/>
    <w:rsid w:val="77BA3285"/>
    <w:rsid w:val="77EF770F"/>
    <w:rsid w:val="782C1E78"/>
    <w:rsid w:val="78E201F2"/>
    <w:rsid w:val="798A3CFE"/>
    <w:rsid w:val="7A7B2C03"/>
    <w:rsid w:val="7AD23B99"/>
    <w:rsid w:val="7BF070CA"/>
    <w:rsid w:val="7C1A134B"/>
    <w:rsid w:val="7C8E66B5"/>
    <w:rsid w:val="7CDE72A4"/>
    <w:rsid w:val="7D3C31C8"/>
    <w:rsid w:val="7D7B7E85"/>
    <w:rsid w:val="7DC223A1"/>
    <w:rsid w:val="7E5B5C23"/>
    <w:rsid w:val="7E916B3D"/>
    <w:rsid w:val="7F211349"/>
    <w:rsid w:val="7F2E31B5"/>
    <w:rsid w:val="7F381AB5"/>
    <w:rsid w:val="7F474F7C"/>
    <w:rsid w:val="7F9C33C8"/>
    <w:rsid w:val="7FB623D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6">
    <w:name w:val="heading 4"/>
    <w:basedOn w:val="1"/>
    <w:next w:val="1"/>
    <w:qFormat/>
    <w:uiPriority w:val="0"/>
    <w:pPr>
      <w:keepNext/>
      <w:keepLines/>
      <w:numPr>
        <w:ilvl w:val="3"/>
        <w:numId w:val="2"/>
      </w:numPr>
      <w:spacing w:before="280" w:after="290" w:line="376" w:lineRule="auto"/>
      <w:ind w:firstLine="402"/>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2"/>
      </w:numPr>
      <w:spacing w:before="280" w:after="290" w:line="376" w:lineRule="auto"/>
      <w:ind w:firstLine="402"/>
      <w:outlineLvl w:val="4"/>
    </w:pPr>
    <w:rPr>
      <w:b/>
      <w:bCs/>
      <w:sz w:val="28"/>
      <w:szCs w:val="28"/>
    </w:rPr>
  </w:style>
  <w:style w:type="paragraph" w:styleId="8">
    <w:name w:val="heading 6"/>
    <w:basedOn w:val="1"/>
    <w:next w:val="1"/>
    <w:qFormat/>
    <w:uiPriority w:val="0"/>
    <w:pPr>
      <w:keepNext/>
      <w:keepLines/>
      <w:numPr>
        <w:ilvl w:val="5"/>
        <w:numId w:val="2"/>
      </w:numPr>
      <w:spacing w:before="240" w:after="64" w:line="320" w:lineRule="auto"/>
      <w:ind w:firstLine="402"/>
      <w:outlineLvl w:val="5"/>
    </w:pPr>
    <w:rPr>
      <w:rFonts w:ascii="Arial" w:hAnsi="Arial" w:eastAsia="黑体"/>
      <w:b/>
      <w:bCs/>
      <w:sz w:val="24"/>
    </w:rPr>
  </w:style>
  <w:style w:type="paragraph" w:styleId="9">
    <w:name w:val="heading 7"/>
    <w:basedOn w:val="1"/>
    <w:next w:val="1"/>
    <w:qFormat/>
    <w:uiPriority w:val="0"/>
    <w:pPr>
      <w:keepNext/>
      <w:keepLines/>
      <w:numPr>
        <w:ilvl w:val="6"/>
        <w:numId w:val="2"/>
      </w:numPr>
      <w:spacing w:before="240" w:after="64" w:line="320" w:lineRule="auto"/>
      <w:ind w:firstLine="402"/>
      <w:outlineLvl w:val="6"/>
    </w:pPr>
    <w:rPr>
      <w:b/>
      <w:bCs/>
      <w:sz w:val="24"/>
    </w:rPr>
  </w:style>
  <w:style w:type="paragraph" w:styleId="10">
    <w:name w:val="heading 8"/>
    <w:basedOn w:val="1"/>
    <w:next w:val="1"/>
    <w:qFormat/>
    <w:uiPriority w:val="0"/>
    <w:pPr>
      <w:keepNext/>
      <w:keepLines/>
      <w:numPr>
        <w:ilvl w:val="7"/>
        <w:numId w:val="2"/>
      </w:numPr>
      <w:spacing w:before="240" w:after="64" w:line="320" w:lineRule="auto"/>
      <w:ind w:firstLine="402"/>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after="64" w:line="320" w:lineRule="auto"/>
      <w:ind w:firstLine="402"/>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semiHidden/>
    <w:qFormat/>
    <w:uiPriority w:val="0"/>
    <w:pPr>
      <w:ind w:left="100" w:leftChars="100"/>
    </w:pPr>
  </w:style>
  <w:style w:type="paragraph" w:styleId="18">
    <w:name w:val="toc 2"/>
    <w:basedOn w:val="19"/>
    <w:next w:val="1"/>
    <w:qFormat/>
    <w:uiPriority w:val="39"/>
  </w:style>
  <w:style w:type="paragraph" w:styleId="19">
    <w:name w:val="toc 1"/>
    <w:next w:val="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3"/>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4"/>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5"/>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6"/>
      </w:numPr>
      <w:contextualSpacing/>
    </w:pPr>
  </w:style>
  <w:style w:type="paragraph" w:styleId="31">
    <w:name w:val="envelope address"/>
    <w:basedOn w:val="1"/>
    <w:semiHidden/>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7"/>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8"/>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9"/>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10"/>
      </w:numPr>
      <w:contextualSpacing/>
    </w:pPr>
  </w:style>
  <w:style w:type="paragraph" w:styleId="51">
    <w:name w:val="List Number 4"/>
    <w:basedOn w:val="1"/>
    <w:semiHidden/>
    <w:unhideWhenUsed/>
    <w:qFormat/>
    <w:uiPriority w:val="99"/>
    <w:pPr>
      <w:numPr>
        <w:ilvl w:val="0"/>
        <w:numId w:val="11"/>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2"/>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qFormat/>
    <w:uiPriority w:val="0"/>
    <w:rPr>
      <w:rFonts w:hint="eastAsia" w:ascii="宋体" w:hAnsi="宋体" w:eastAsia="宋体" w:cs="宋体"/>
    </w:rPr>
  </w:style>
  <w:style w:type="paragraph" w:styleId="75">
    <w:name w:val="toc 9"/>
    <w:basedOn w:val="52"/>
    <w:next w:val="1"/>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28"/>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basedOn w:val="259"/>
    <w:next w:val="258"/>
    <w:qFormat/>
    <w:uiPriority w:val="0"/>
    <w:pPr>
      <w:numPr>
        <w:ilvl w:val="1"/>
        <w:numId w:val="1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4"/>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2"/>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4"/>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3"/>
    </w:pPr>
  </w:style>
  <w:style w:type="paragraph" w:customStyle="1" w:styleId="278">
    <w:name w:val="附录二级条标题"/>
    <w:basedOn w:val="1"/>
    <w:next w:val="258"/>
    <w:qFormat/>
    <w:uiPriority w:val="0"/>
    <w:pPr>
      <w:widowControl/>
      <w:numPr>
        <w:ilvl w:val="3"/>
        <w:numId w:val="14"/>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3"/>
    </w:pPr>
  </w:style>
  <w:style w:type="paragraph" w:customStyle="1" w:styleId="280">
    <w:name w:val="附录四级条标题"/>
    <w:basedOn w:val="279"/>
    <w:next w:val="258"/>
    <w:qFormat/>
    <w:uiPriority w:val="0"/>
    <w:pPr>
      <w:numPr>
        <w:ilvl w:val="5"/>
      </w:numPr>
      <w:outlineLvl w:val="3"/>
    </w:pPr>
  </w:style>
  <w:style w:type="paragraph" w:customStyle="1" w:styleId="281">
    <w:name w:val="附录图标题"/>
    <w:basedOn w:val="1"/>
    <w:next w:val="1"/>
    <w:qFormat/>
    <w:uiPriority w:val="0"/>
    <w:pPr>
      <w:numPr>
        <w:ilvl w:val="1"/>
        <w:numId w:val="15"/>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9"/>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20"/>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1"/>
      </w:numPr>
      <w:tabs>
        <w:tab w:val="clear" w:pos="360"/>
      </w:tabs>
    </w:pPr>
  </w:style>
  <w:style w:type="paragraph" w:customStyle="1" w:styleId="303">
    <w:name w:val="注："/>
    <w:next w:val="1"/>
    <w:qFormat/>
    <w:uiPriority w:val="0"/>
    <w:pPr>
      <w:widowControl w:val="0"/>
      <w:numPr>
        <w:ilvl w:val="0"/>
        <w:numId w:val="22"/>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3"/>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Id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hint="eastAsia" w:ascii="黑体" w:hAnsi="黑体" w:eastAsia="黑体" w:cs="黑体"/>
      <w:bCs/>
      <w:w w:val="100"/>
      <w:sz w:val="48"/>
      <w:lang w:val="en-US" w:eastAsia="zh-CN" w:bidi="ar-SA"/>
    </w:rPr>
  </w:style>
  <w:style w:type="character" w:customStyle="1" w:styleId="339">
    <w:name w:val="标准称谓QB Char"/>
    <w:basedOn w:val="231"/>
    <w:link w:val="338"/>
    <w:qFormat/>
    <w:uiPriority w:val="0"/>
    <w:rPr>
      <w:rFonts w:hint="eastAsia" w:ascii="黑体" w:hAnsi="黑体" w:eastAsia="黑体" w:cs="黑体"/>
      <w:bCs/>
      <w:w w:val="100"/>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hint="eastAsia" w:ascii="黑体" w:hAnsi="黑体" w:eastAsia="黑体" w:cs="黑体"/>
      <w:spacing w:val="20"/>
      <w:w w:val="135"/>
      <w:sz w:val="28"/>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2"/>
      </w:numPr>
      <w:snapToGrid w:val="0"/>
      <w:spacing w:line="14" w:lineRule="exact"/>
      <w:jc w:val="center"/>
    </w:pPr>
    <w:rPr>
      <w:color w:val="FFFFFF"/>
    </w:rPr>
  </w:style>
  <w:style w:type="paragraph" w:customStyle="1" w:styleId="348">
    <w:name w:val="附录图标号"/>
    <w:basedOn w:val="1"/>
    <w:next w:val="258"/>
    <w:qFormat/>
    <w:uiPriority w:val="0"/>
    <w:pPr>
      <w:numPr>
        <w:ilvl w:val="0"/>
        <w:numId w:val="15"/>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qFormat/>
    <w:uiPriority w:val="99"/>
    <w:rPr>
      <w:rFonts w:ascii="宋体" w:hAnsi="Courier New" w:cs="Courier New"/>
      <w:kern w:val="2"/>
      <w:sz w:val="21"/>
      <w:szCs w:val="21"/>
    </w:rPr>
  </w:style>
  <w:style w:type="character" w:customStyle="1" w:styleId="356">
    <w:name w:val="电子邮件签名 Char"/>
    <w:basedOn w:val="231"/>
    <w:link w:val="25"/>
    <w:semiHidden/>
    <w:qFormat/>
    <w:uiPriority w:val="99"/>
    <w:rPr>
      <w:kern w:val="2"/>
      <w:sz w:val="21"/>
      <w:szCs w:val="24"/>
    </w:rPr>
  </w:style>
  <w:style w:type="character" w:customStyle="1" w:styleId="357">
    <w:name w:val="副标题 Char"/>
    <w:basedOn w:val="231"/>
    <w:link w:val="66"/>
    <w:qFormat/>
    <w:uiPriority w:val="11"/>
    <w:rPr>
      <w:rFonts w:asciiTheme="majorHAnsi" w:hAnsiTheme="majorHAnsi" w:cstheme="majorBidi"/>
      <w:b/>
      <w:bCs/>
      <w:kern w:val="28"/>
      <w:sz w:val="32"/>
      <w:szCs w:val="32"/>
    </w:rPr>
  </w:style>
  <w:style w:type="character" w:customStyle="1" w:styleId="358">
    <w:name w:val="宏文本 Char"/>
    <w:basedOn w:val="231"/>
    <w:link w:val="2"/>
    <w:semiHidden/>
    <w:qFormat/>
    <w:uiPriority w:val="99"/>
    <w:rPr>
      <w:rFonts w:ascii="Courier New" w:hAnsi="Courier New" w:cs="Courier New"/>
      <w:kern w:val="2"/>
      <w:sz w:val="24"/>
      <w:szCs w:val="24"/>
    </w:rPr>
  </w:style>
  <w:style w:type="character" w:customStyle="1" w:styleId="359">
    <w:name w:val="结束语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qFormat/>
    <w:uiPriority w:val="99"/>
    <w:rPr>
      <w:kern w:val="2"/>
      <w:sz w:val="18"/>
      <w:szCs w:val="18"/>
    </w:rPr>
  </w:style>
  <w:style w:type="character" w:customStyle="1" w:styleId="366">
    <w:name w:val="批注文字 Char"/>
    <w:basedOn w:val="231"/>
    <w:link w:val="34"/>
    <w:semiHidden/>
    <w:qFormat/>
    <w:uiPriority w:val="99"/>
    <w:rPr>
      <w:kern w:val="2"/>
      <w:sz w:val="21"/>
      <w:szCs w:val="24"/>
    </w:rPr>
  </w:style>
  <w:style w:type="character" w:customStyle="1" w:styleId="367">
    <w:name w:val="批注主题 Char"/>
    <w:basedOn w:val="366"/>
    <w:link w:val="85"/>
    <w:semiHidden/>
    <w:qFormat/>
    <w:uiPriority w:val="99"/>
    <w:rPr>
      <w:b/>
      <w:bCs/>
      <w:kern w:val="2"/>
      <w:sz w:val="21"/>
      <w:szCs w:val="24"/>
    </w:rPr>
  </w:style>
  <w:style w:type="character" w:customStyle="1" w:styleId="368">
    <w:name w:val="签名 Char"/>
    <w:basedOn w:val="231"/>
    <w:link w:val="62"/>
    <w:semiHidden/>
    <w:qFormat/>
    <w:uiPriority w:val="99"/>
    <w:rPr>
      <w:kern w:val="2"/>
      <w:sz w:val="21"/>
      <w:szCs w:val="24"/>
    </w:rPr>
  </w:style>
  <w:style w:type="table" w:customStyle="1" w:styleId="369">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qFormat/>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qFormat/>
    <w:uiPriority w:val="37"/>
  </w:style>
  <w:style w:type="table" w:customStyle="1" w:styleId="421">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semiHidden/>
    <w:qFormat/>
    <w:uiPriority w:val="99"/>
    <w:rPr>
      <w:kern w:val="2"/>
      <w:sz w:val="21"/>
      <w:szCs w:val="24"/>
    </w:rPr>
  </w:style>
  <w:style w:type="character" w:customStyle="1" w:styleId="472">
    <w:name w:val="文档结构图 Char"/>
    <w:basedOn w:val="231"/>
    <w:link w:val="32"/>
    <w:semiHidden/>
    <w:qFormat/>
    <w:uiPriority w:val="99"/>
    <w:rPr>
      <w:rFonts w:ascii="Microsoft YaHei UI" w:eastAsia="Microsoft YaHei UI"/>
      <w:kern w:val="2"/>
      <w:sz w:val="18"/>
      <w:szCs w:val="18"/>
    </w:rPr>
  </w:style>
  <w:style w:type="table" w:customStyle="1" w:styleId="47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qFormat/>
    <w:uiPriority w:val="99"/>
    <w:rPr>
      <w:color w:val="808080"/>
    </w:rPr>
  </w:style>
  <w:style w:type="character" w:customStyle="1" w:styleId="483">
    <w:name w:val="正文首行缩进 Char"/>
    <w:basedOn w:val="332"/>
    <w:link w:val="86"/>
    <w:semiHidden/>
    <w:qFormat/>
    <w:uiPriority w:val="99"/>
    <w:rPr>
      <w:kern w:val="2"/>
      <w:sz w:val="21"/>
      <w:szCs w:val="24"/>
    </w:rPr>
  </w:style>
  <w:style w:type="character" w:customStyle="1" w:styleId="484">
    <w:name w:val="正文文本缩进 Char"/>
    <w:basedOn w:val="231"/>
    <w:link w:val="41"/>
    <w:semiHidden/>
    <w:qFormat/>
    <w:uiPriority w:val="99"/>
    <w:rPr>
      <w:kern w:val="2"/>
      <w:sz w:val="21"/>
      <w:szCs w:val="24"/>
    </w:rPr>
  </w:style>
  <w:style w:type="character" w:customStyle="1" w:styleId="485">
    <w:name w:val="正文首行缩进 2 Char"/>
    <w:basedOn w:val="484"/>
    <w:link w:val="87"/>
    <w:semiHidden/>
    <w:qFormat/>
    <w:uiPriority w:val="99"/>
    <w:rPr>
      <w:kern w:val="2"/>
      <w:sz w:val="21"/>
      <w:szCs w:val="24"/>
    </w:rPr>
  </w:style>
  <w:style w:type="character" w:customStyle="1" w:styleId="486">
    <w:name w:val="正文文本 2 Char"/>
    <w:basedOn w:val="231"/>
    <w:link w:val="76"/>
    <w:semiHidden/>
    <w:qFormat/>
    <w:uiPriority w:val="99"/>
    <w:rPr>
      <w:kern w:val="2"/>
      <w:sz w:val="21"/>
      <w:szCs w:val="24"/>
    </w:rPr>
  </w:style>
  <w:style w:type="character" w:customStyle="1" w:styleId="487">
    <w:name w:val="正文文本 3 Char"/>
    <w:basedOn w:val="231"/>
    <w:link w:val="37"/>
    <w:semiHidden/>
    <w:qFormat/>
    <w:uiPriority w:val="99"/>
    <w:rPr>
      <w:kern w:val="2"/>
      <w:sz w:val="16"/>
      <w:szCs w:val="16"/>
    </w:rPr>
  </w:style>
  <w:style w:type="character" w:customStyle="1" w:styleId="488">
    <w:name w:val="正文文本缩进 2 Char"/>
    <w:basedOn w:val="231"/>
    <w:link w:val="55"/>
    <w:semiHidden/>
    <w:qFormat/>
    <w:uiPriority w:val="99"/>
    <w:rPr>
      <w:kern w:val="2"/>
      <w:sz w:val="21"/>
      <w:szCs w:val="24"/>
    </w:rPr>
  </w:style>
  <w:style w:type="character" w:customStyle="1" w:styleId="489">
    <w:name w:val="正文文本缩进 3 Char"/>
    <w:basedOn w:val="231"/>
    <w:link w:val="71"/>
    <w:semiHidden/>
    <w:qFormat/>
    <w:uiPriority w:val="99"/>
    <w:rPr>
      <w:kern w:val="2"/>
      <w:sz w:val="16"/>
      <w:szCs w:val="16"/>
    </w:rPr>
  </w:style>
  <w:style w:type="character" w:customStyle="1" w:styleId="490">
    <w:name w:val="注释标题 Char"/>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Times New Roman" w:hAnsi="Times New Roman" w:eastAsia="Arial Unicode MS" w:cs="Times New Roman"/>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7"/>
      </w:numPr>
    </w:pPr>
  </w:style>
  <w:style w:type="paragraph" w:customStyle="1" w:styleId="511">
    <w:name w:val="引言二级条标题"/>
    <w:basedOn w:val="1"/>
    <w:next w:val="258"/>
    <w:qFormat/>
    <w:uiPriority w:val="0"/>
    <w:pPr>
      <w:widowControl/>
      <w:numPr>
        <w:ilvl w:val="2"/>
        <w:numId w:val="28"/>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8"/>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8"/>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8"/>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8"/>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9"/>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30"/>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1"/>
      </w:numPr>
      <w:adjustRightInd w:val="0"/>
      <w:jc w:val="left"/>
    </w:pPr>
    <w:rPr>
      <w:rFonts w:hAnsi="宋体"/>
      <w:szCs w:val="21"/>
    </w:rPr>
  </w:style>
  <w:style w:type="character" w:customStyle="1" w:styleId="528">
    <w:name w:val="段 Char"/>
    <w:link w:val="258"/>
    <w:qFormat/>
    <w:uiPriority w:val="0"/>
    <w:rPr>
      <w:rFonts w:ascii="宋体" w:hAnsi="Times New Roman" w:eastAsia="宋体" w:cs="Times New Roman"/>
      <w:sz w:val="21"/>
      <w:lang w:val="en-US" w:eastAsia="zh-CN" w:bidi="ar-SA"/>
    </w:rPr>
  </w:style>
  <w:style w:type="character" w:customStyle="1" w:styleId="529">
    <w:name w:val="font31"/>
    <w:basedOn w:val="231"/>
    <w:qFormat/>
    <w:uiPriority w:val="0"/>
    <w:rPr>
      <w:rFonts w:ascii="宋体" w:hAnsi="宋体" w:eastAsia="宋体" w:cs="宋体"/>
      <w:color w:val="000000"/>
      <w:sz w:val="34"/>
      <w:szCs w:val="34"/>
      <w:u w:val="none"/>
    </w:rPr>
  </w:style>
  <w:style w:type="paragraph" w:customStyle="1" w:styleId="530">
    <w:name w:val="Table Text"/>
    <w:basedOn w:val="1"/>
    <w:semiHidden/>
    <w:qFormat/>
    <w:uiPriority w:val="0"/>
    <w:rPr>
      <w:rFonts w:ascii="宋体" w:hAnsi="宋体" w:eastAsia="宋体" w:cs="宋体"/>
      <w:sz w:val="18"/>
      <w:szCs w:val="18"/>
      <w:lang w:val="en-US" w:eastAsia="en-US" w:bidi="ar-SA"/>
    </w:rPr>
  </w:style>
  <w:style w:type="table" w:customStyle="1" w:styleId="531">
    <w:name w:val="Table Normal"/>
    <w:semiHidden/>
    <w:unhideWhenUsed/>
    <w:qFormat/>
    <w:uiPriority w:val="0"/>
    <w:tblPr>
      <w:tblCellMar>
        <w:top w:w="0" w:type="dxa"/>
        <w:left w:w="0" w:type="dxa"/>
        <w:bottom w:w="0" w:type="dxa"/>
        <w:right w:w="0" w:type="dxa"/>
      </w:tblCellMar>
    </w:tblPr>
  </w:style>
  <w:style w:type="character" w:customStyle="1" w:styleId="532">
    <w:name w:val="font11"/>
    <w:basedOn w:val="2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glossaryDocument" Target="glossary/document.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1.wmf"/><Relationship Id="rId34" Type="http://schemas.openxmlformats.org/officeDocument/2006/relationships/oleObject" Target="embeddings/oleObject9.bin"/><Relationship Id="rId33" Type="http://schemas.openxmlformats.org/officeDocument/2006/relationships/image" Target="media/image10.wmf"/><Relationship Id="rId32" Type="http://schemas.openxmlformats.org/officeDocument/2006/relationships/oleObject" Target="embeddings/oleObject8.bin"/><Relationship Id="rId31" Type="http://schemas.openxmlformats.org/officeDocument/2006/relationships/image" Target="media/image9.wmf"/><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7.wmf"/><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image" Target="media/image5.w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508\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4048F537">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43</Pages>
  <Words>2070</Words>
  <Characters>2372</Characters>
  <Lines>1</Lines>
  <Paragraphs>1</Paragraphs>
  <TotalTime>89</TotalTime>
  <ScaleCrop>false</ScaleCrop>
  <LinksUpToDate>false</LinksUpToDate>
  <CharactersWithSpaces>2704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2024-07-28T13:34:00Z</dcterms:created>
  <dc:creator>余佳荣</dc:creator>
  <cp:lastModifiedBy>Lenovo</cp:lastModifiedBy>
  <cp:lastPrinted>2024-11-20T06:00:00Z</cp:lastPrinted>
  <dcterms:modified xsi:type="dcterms:W3CDTF">2025-01-20T01:55:08Z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5315631B04654283A85E11ABF37A0A47_13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29.020</vt:lpwstr>
  </property>
  <property fmtid="{D5CDD505-2E9C-101B-9397-08002B2CF9AE}" pid="7" name="CCS" linkTarget="CCS">
    <vt:lpwstr>CCS P16</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T/CQFPA 001-2024</vt:lpwstr>
  </property>
  <property fmtid="{D5CDD505-2E9C-101B-9397-08002B2CF9AE}" pid="11" name="TDBH" linkTarget="TDBH">
    <vt:lpwstr>代替 Q/XXX</vt:lpwstr>
  </property>
  <property fmtid="{D5CDD505-2E9C-101B-9397-08002B2CF9AE}" pid="12" name="BZMC" linkTarget="BZMC">
    <vt:lpwstr>建筑电气防火检测技术规程</vt:lpwstr>
  </property>
  <property fmtid="{D5CDD505-2E9C-101B-9397-08002B2CF9AE}" pid="13" name="YWMC" linkTarget="YWMC">
    <vt:lpwstr>Technical regulations for building electrical fire detection</vt:lpwstr>
  </property>
  <property fmtid="{D5CDD505-2E9C-101B-9397-08002B2CF9AE}" pid="14" name="CBCD" linkTarget="CBCD">
    <vt:lpwstr>（与国际标准一致性程度的标识）</vt:lpwstr>
  </property>
  <property fmtid="{D5CDD505-2E9C-101B-9397-08002B2CF9AE}" pid="15" name="WGLB" linkTarget="WGLB">
    <vt:lpwstr>（送审稿）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CQXF</vt:lpwstr>
  </property>
  <property fmtid="{D5CDD505-2E9C-101B-9397-08002B2CF9AE}" pid="19" name="标准类型" linkTarget="标准类型">
    <vt:lpwstr>TB</vt:lpwstr>
  </property>
  <property fmtid="{D5CDD505-2E9C-101B-9397-08002B2CF9AE}" pid="20" name="FBDW" linkTarget="FBDW">
    <vt:lpwstr>重庆消防协会###ENTER###四川省消防协会</vt:lpwstr>
  </property>
  <property fmtid="{D5CDD505-2E9C-101B-9397-08002B2CF9AE}" pid="21" name="IMAGE" linkTarget="IMAGE">
    <vt:lpwstr/>
  </property>
  <property fmtid="{D5CDD505-2E9C-101B-9397-08002B2CF9AE}" pid="22" name="KSOProductBuildVer">
    <vt:lpwstr>2052-12.1.0.19770</vt:lpwstr>
  </property>
  <property fmtid="{D5CDD505-2E9C-101B-9397-08002B2CF9AE}" pid="23" name="KSOTemplateDocerSaveRecord">
    <vt:lpwstr>eyJoZGlkIjoiMzZiNzdkZmU0ODBkZGMxODc2MDk4MWUwNmQ5ZGFkYmQifQ==</vt:lpwstr>
  </property>
</Properties>
</file>